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88" w:rsidRPr="000A367E" w:rsidRDefault="000A367E" w:rsidP="0034068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340688">
        <w:rPr>
          <w:rFonts w:ascii="Times New Roman" w:hAnsi="Times New Roman" w:cs="Times New Roman"/>
          <w:i/>
          <w:sz w:val="24"/>
          <w:szCs w:val="24"/>
          <w:lang w:val="uk-UA"/>
        </w:rPr>
        <w:t>Атаманчук</w:t>
      </w:r>
      <w:proofErr w:type="spellEnd"/>
      <w:r w:rsidRPr="0034068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Н.М. </w:t>
      </w:r>
      <w:r w:rsidR="00340688" w:rsidRPr="0034068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Творча компетентність викладача –  передумова розвитку творчого потенціалу майбутнього фахівця. </w:t>
      </w:r>
      <w:r w:rsidRPr="0034068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Матеріали </w:t>
      </w:r>
      <w:r w:rsidRPr="000A36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VІІ </w:t>
      </w:r>
      <w:proofErr w:type="spellStart"/>
      <w:r w:rsidRPr="000A36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Міжнародної</w:t>
      </w:r>
      <w:proofErr w:type="spellEnd"/>
      <w:r w:rsidRPr="000A36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0A36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науково-практичної</w:t>
      </w:r>
      <w:proofErr w:type="spellEnd"/>
      <w:r w:rsidRPr="000A36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0A36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конференції</w:t>
      </w:r>
      <w:proofErr w:type="spellEnd"/>
      <w:r w:rsidR="00340688" w:rsidRPr="00340688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</w:t>
      </w:r>
      <w:r w:rsidRPr="000A36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«НЕПЕРЕРВНА ОСВІТА НОВОГО СТОРІЧЧЯ: ДОСЯГНЕННЯ ТА ПЕРСПЕКТИВИ»</w:t>
      </w:r>
      <w:r w:rsidRPr="0034068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, 13-15 </w:t>
      </w:r>
      <w:proofErr w:type="spellStart"/>
      <w:r w:rsidRPr="0034068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травня</w:t>
      </w:r>
      <w:proofErr w:type="spellEnd"/>
      <w:r w:rsidRPr="0034068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2021 р. </w:t>
      </w:r>
      <w:r w:rsidRPr="0034068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м. Запоріжжя.</w:t>
      </w:r>
      <w:r w:rsidRPr="00340688">
        <w:rPr>
          <w:i/>
          <w:sz w:val="24"/>
          <w:szCs w:val="24"/>
          <w:lang w:val="uk-UA"/>
        </w:rPr>
        <w:t xml:space="preserve"> </w:t>
      </w:r>
      <w:r w:rsidRPr="0034068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Електронний збірник наукових праць ЗОІППО. № </w:t>
      </w:r>
      <w:r w:rsidRPr="0034068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3(45</w:t>
      </w:r>
      <w:r w:rsidRPr="0034068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).</w:t>
      </w:r>
      <w:r w:rsidRPr="0034068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Ч.І. </w:t>
      </w:r>
      <w:r w:rsidRPr="0034068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2021.</w:t>
      </w:r>
      <w:r w:rsidR="00340688" w:rsidRPr="0034068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="00340688" w:rsidRPr="000A36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ISSN 2223-4551</w:t>
      </w:r>
    </w:p>
    <w:p w:rsidR="00AE4D23" w:rsidRPr="00335E4C" w:rsidRDefault="00EC53FB" w:rsidP="00AE4D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C53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ТВОРЧА КОМПЕТЕНТНІСТЬ ВИКЛАДАЧА </w:t>
      </w:r>
      <w:r w:rsidR="000B3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C60A51" w:rsidRPr="00C60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ПЕРЕДУМОВА </w:t>
      </w:r>
      <w:r w:rsidR="000B344E">
        <w:rPr>
          <w:rFonts w:ascii="Times New Roman" w:hAnsi="Times New Roman" w:cs="Times New Roman"/>
          <w:b/>
          <w:sz w:val="28"/>
          <w:szCs w:val="28"/>
          <w:lang w:val="uk-UA"/>
        </w:rPr>
        <w:t>РОЗВИТКУ ТВОРЧОГО ПОТЕНЦІАЛУ МАЙБУТНЬОГО ФАХІВЦЯ</w:t>
      </w:r>
    </w:p>
    <w:p w:rsidR="00BE5B37" w:rsidRDefault="00BE5B37" w:rsidP="00BE5B3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5B37" w:rsidRPr="00B72EC7" w:rsidRDefault="00BE5B37" w:rsidP="00BE5B3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Атаманчук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</w:t>
      </w:r>
      <w:r w:rsidRPr="00B72EC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B72EC7">
        <w:rPr>
          <w:rFonts w:ascii="Times New Roman" w:hAnsi="Times New Roman" w:cs="Times New Roman"/>
          <w:b/>
          <w:i/>
          <w:sz w:val="28"/>
          <w:szCs w:val="28"/>
        </w:rPr>
        <w:t>М.</w:t>
      </w:r>
    </w:p>
    <w:p w:rsidR="00D05B60" w:rsidRDefault="00BE5B37" w:rsidP="00BE5B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м. Полтава</w:t>
      </w:r>
      <w:r w:rsidRPr="00B72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«Полтавська </w:t>
      </w:r>
    </w:p>
    <w:p w:rsidR="00BE5B37" w:rsidRDefault="00BE5B37" w:rsidP="00BE5B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 імені Юрія Кондратюка»</w:t>
      </w:r>
    </w:p>
    <w:p w:rsidR="00BE5B37" w:rsidRPr="00206536" w:rsidRDefault="00BE5B37" w:rsidP="00BE5B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23B0" w:rsidRDefault="009C139F" w:rsidP="00BF2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3B0">
        <w:rPr>
          <w:rFonts w:ascii="Times New Roman" w:hAnsi="Times New Roman" w:cs="Times New Roman"/>
          <w:sz w:val="28"/>
          <w:szCs w:val="28"/>
          <w:lang w:val="uk-UA"/>
        </w:rPr>
        <w:t xml:space="preserve">Сьогодні суспільству потрібні </w:t>
      </w:r>
      <w:proofErr w:type="spellStart"/>
      <w:r w:rsidRPr="006723B0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6723B0"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компетентні</w:t>
      </w:r>
      <w:r w:rsidR="00C60A51">
        <w:rPr>
          <w:rFonts w:ascii="Times New Roman" w:hAnsi="Times New Roman" w:cs="Times New Roman"/>
          <w:sz w:val="28"/>
          <w:szCs w:val="28"/>
          <w:lang w:val="uk-UA"/>
        </w:rPr>
        <w:t>, творчі</w:t>
      </w:r>
      <w:r w:rsidRPr="006723B0">
        <w:rPr>
          <w:rFonts w:ascii="Times New Roman" w:hAnsi="Times New Roman" w:cs="Times New Roman"/>
          <w:sz w:val="28"/>
          <w:szCs w:val="28"/>
          <w:lang w:val="uk-UA"/>
        </w:rPr>
        <w:t xml:space="preserve"> фахівці, </w:t>
      </w:r>
      <w:r w:rsidR="00C60A51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Pr="006723B0">
        <w:rPr>
          <w:rFonts w:ascii="Times New Roman" w:hAnsi="Times New Roman" w:cs="Times New Roman"/>
          <w:sz w:val="28"/>
          <w:szCs w:val="28"/>
          <w:lang w:val="uk-UA"/>
        </w:rPr>
        <w:t>вміють швидко адаптуватися до змін, здатні до ризику, прийняття рішень, налаштовані на успіх.</w:t>
      </w:r>
      <w:r w:rsidR="00672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5B60">
        <w:rPr>
          <w:rFonts w:ascii="Times New Roman" w:hAnsi="Times New Roman" w:cs="Times New Roman"/>
          <w:sz w:val="28"/>
          <w:szCs w:val="28"/>
          <w:lang w:val="uk-UA"/>
        </w:rPr>
        <w:t>Забезпечити підготовку творчих випускників закладів вищої освіти</w:t>
      </w:r>
      <w:r w:rsidR="00D05B60">
        <w:rPr>
          <w:rFonts w:ascii="Times New Roman" w:hAnsi="Times New Roman" w:cs="Times New Roman"/>
          <w:sz w:val="28"/>
          <w:szCs w:val="28"/>
          <w:lang w:val="uk-UA"/>
        </w:rPr>
        <w:t xml:space="preserve"> (далі ЗВО)</w:t>
      </w:r>
      <w:r w:rsidRPr="00D05B60">
        <w:rPr>
          <w:rFonts w:ascii="Times New Roman" w:hAnsi="Times New Roman" w:cs="Times New Roman"/>
          <w:sz w:val="28"/>
          <w:szCs w:val="28"/>
          <w:lang w:val="uk-UA"/>
        </w:rPr>
        <w:t xml:space="preserve"> може викладач</w:t>
      </w:r>
      <w:r w:rsidR="00EC53FB" w:rsidRPr="00D05B60">
        <w:rPr>
          <w:rFonts w:ascii="Times New Roman" w:hAnsi="Times New Roman" w:cs="Times New Roman"/>
          <w:sz w:val="28"/>
          <w:szCs w:val="28"/>
          <w:lang w:val="uk-UA"/>
        </w:rPr>
        <w:t xml:space="preserve"> творчий (креативний) у своїй діяльності.</w:t>
      </w:r>
      <w:r w:rsidR="0044491D" w:rsidRPr="00D05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867">
        <w:rPr>
          <w:rFonts w:ascii="Times New Roman" w:hAnsi="Times New Roman" w:cs="Times New Roman"/>
          <w:sz w:val="28"/>
          <w:szCs w:val="28"/>
          <w:lang w:val="uk-UA"/>
        </w:rPr>
        <w:t>Якщо викладач</w:t>
      </w:r>
      <w:r w:rsidR="00860867" w:rsidRPr="00860867">
        <w:rPr>
          <w:rFonts w:ascii="Times New Roman" w:hAnsi="Times New Roman" w:cs="Times New Roman"/>
          <w:sz w:val="28"/>
          <w:szCs w:val="28"/>
          <w:lang w:val="uk-UA"/>
        </w:rPr>
        <w:t xml:space="preserve"> ставить за мету розвиток творчих можливостей</w:t>
      </w:r>
      <w:r w:rsidR="00860867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студентської молоді</w:t>
      </w:r>
      <w:r w:rsidR="00860867" w:rsidRPr="00860867">
        <w:rPr>
          <w:rFonts w:ascii="Times New Roman" w:hAnsi="Times New Roman" w:cs="Times New Roman"/>
          <w:sz w:val="28"/>
          <w:szCs w:val="28"/>
          <w:lang w:val="uk-UA"/>
        </w:rPr>
        <w:t xml:space="preserve">, він повинен оволодіти тими формами, методами і засобами педагогічної діяльності, які забезпечують розвиток особистісних якостей, здібностей, що сприяють успішній творчій діяльності. </w:t>
      </w:r>
      <w:r w:rsidR="00EC53FB">
        <w:rPr>
          <w:rFonts w:ascii="Times New Roman" w:hAnsi="Times New Roman" w:cs="Times New Roman"/>
          <w:sz w:val="28"/>
          <w:szCs w:val="28"/>
          <w:lang w:val="uk-UA"/>
        </w:rPr>
        <w:t>Переконані, т</w:t>
      </w:r>
      <w:r w:rsidR="00041866">
        <w:rPr>
          <w:rFonts w:ascii="Times New Roman" w:hAnsi="Times New Roman" w:cs="Times New Roman"/>
          <w:sz w:val="28"/>
          <w:szCs w:val="28"/>
          <w:lang w:val="uk-UA"/>
        </w:rPr>
        <w:t xml:space="preserve">ворчий викладач </w:t>
      </w:r>
      <w:r w:rsidR="00C60A51">
        <w:rPr>
          <w:rFonts w:ascii="Times New Roman" w:hAnsi="Times New Roman" w:cs="Times New Roman"/>
          <w:sz w:val="28"/>
          <w:szCs w:val="28"/>
          <w:lang w:val="uk-UA"/>
        </w:rPr>
        <w:t xml:space="preserve">уміє </w:t>
      </w:r>
      <w:r w:rsidR="00192E56">
        <w:rPr>
          <w:rFonts w:ascii="Times New Roman" w:hAnsi="Times New Roman" w:cs="Times New Roman"/>
          <w:sz w:val="28"/>
          <w:szCs w:val="28"/>
          <w:lang w:val="uk-UA"/>
        </w:rPr>
        <w:t>швидко р</w:t>
      </w:r>
      <w:r w:rsidR="00C60A51">
        <w:rPr>
          <w:rFonts w:ascii="Times New Roman" w:hAnsi="Times New Roman" w:cs="Times New Roman"/>
          <w:sz w:val="28"/>
          <w:szCs w:val="28"/>
          <w:lang w:val="uk-UA"/>
        </w:rPr>
        <w:t xml:space="preserve">еагувати на зміни в суспільстві, здатний </w:t>
      </w:r>
      <w:r w:rsidR="00192E56">
        <w:rPr>
          <w:rFonts w:ascii="Times New Roman" w:hAnsi="Times New Roman" w:cs="Times New Roman"/>
          <w:sz w:val="28"/>
          <w:szCs w:val="28"/>
          <w:lang w:val="uk-UA"/>
        </w:rPr>
        <w:t>корегувати власну викладацьку діяльність відповідно соціальних вимог.</w:t>
      </w:r>
      <w:r w:rsidR="00672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23B0" w:rsidRPr="00F93FC8" w:rsidRDefault="00206536" w:rsidP="00BF2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536">
        <w:rPr>
          <w:rFonts w:ascii="Times New Roman" w:hAnsi="Times New Roman" w:cs="Times New Roman"/>
          <w:sz w:val="28"/>
          <w:szCs w:val="28"/>
          <w:lang w:val="uk-UA"/>
        </w:rPr>
        <w:t>Сучасна вища освіта обумовлює потребу в творчих, компетентних фахівцях, здатних до успішної професійної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[7,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67</w:t>
      </w:r>
      <w:r w:rsidRPr="00580A73">
        <w:rPr>
          <w:rFonts w:ascii="Times New Roman" w:hAnsi="Times New Roman" w:cs="Times New Roman"/>
          <w:sz w:val="28"/>
          <w:szCs w:val="28"/>
        </w:rPr>
        <w:t>]</w:t>
      </w:r>
      <w:r w:rsidRPr="0020653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r w:rsidR="006723B0">
        <w:rPr>
          <w:rFonts w:ascii="Times New Roman" w:hAnsi="Times New Roman" w:cs="Times New Roman"/>
          <w:sz w:val="28"/>
          <w:szCs w:val="28"/>
          <w:lang w:val="uk-UA"/>
        </w:rPr>
        <w:t>Динамічні зміни життя в наш час, постійне оновлення та швидкі темпи накопичення інформації зум</w:t>
      </w:r>
      <w:r w:rsidR="008D22B4">
        <w:rPr>
          <w:rFonts w:ascii="Times New Roman" w:hAnsi="Times New Roman" w:cs="Times New Roman"/>
          <w:sz w:val="28"/>
          <w:szCs w:val="28"/>
          <w:lang w:val="uk-UA"/>
        </w:rPr>
        <w:t xml:space="preserve">овлюють потребу в фахівцях, які здатні </w:t>
      </w:r>
      <w:proofErr w:type="spellStart"/>
      <w:r w:rsidR="008D22B4">
        <w:rPr>
          <w:rFonts w:ascii="Times New Roman" w:hAnsi="Times New Roman" w:cs="Times New Roman"/>
          <w:sz w:val="28"/>
          <w:szCs w:val="28"/>
          <w:lang w:val="uk-UA"/>
        </w:rPr>
        <w:t>гнучко</w:t>
      </w:r>
      <w:proofErr w:type="spellEnd"/>
      <w:r w:rsidR="008D22B4">
        <w:rPr>
          <w:rFonts w:ascii="Times New Roman" w:hAnsi="Times New Roman" w:cs="Times New Roman"/>
          <w:sz w:val="28"/>
          <w:szCs w:val="28"/>
          <w:lang w:val="uk-UA"/>
        </w:rPr>
        <w:t xml:space="preserve"> адаптуватися до вимог сьогодення, адекватно реагувати на нові виклики, постійно займатися саморозвитком, самовдосконаленням.</w:t>
      </w:r>
      <w:r w:rsidRPr="00206536">
        <w:rPr>
          <w:lang w:val="uk-UA"/>
        </w:rPr>
        <w:t xml:space="preserve"> </w:t>
      </w:r>
      <w:r w:rsidR="008D22B4">
        <w:rPr>
          <w:rFonts w:ascii="Times New Roman" w:hAnsi="Times New Roman" w:cs="Times New Roman"/>
          <w:sz w:val="28"/>
          <w:szCs w:val="28"/>
          <w:lang w:val="uk-UA"/>
        </w:rPr>
        <w:t xml:space="preserve">Саме у творчості </w:t>
      </w:r>
      <w:r w:rsidR="008D22B4" w:rsidRPr="00F93FC8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студентська молодь може </w:t>
      </w:r>
      <w:proofErr w:type="spellStart"/>
      <w:r w:rsidR="008D22B4" w:rsidRPr="00F93FC8">
        <w:rPr>
          <w:rFonts w:ascii="Times New Roman" w:hAnsi="Times New Roman" w:cs="Times New Roman"/>
          <w:sz w:val="28"/>
          <w:szCs w:val="28"/>
          <w:lang w:val="uk-UA"/>
        </w:rPr>
        <w:t>самореалізуватися</w:t>
      </w:r>
      <w:proofErr w:type="spellEnd"/>
      <w:r w:rsidR="008D22B4" w:rsidRPr="00F93FC8">
        <w:rPr>
          <w:rFonts w:ascii="Times New Roman" w:hAnsi="Times New Roman" w:cs="Times New Roman"/>
          <w:sz w:val="28"/>
          <w:szCs w:val="28"/>
          <w:lang w:val="uk-UA"/>
        </w:rPr>
        <w:t>, самоствердитися.</w:t>
      </w:r>
    </w:p>
    <w:p w:rsidR="009B43F8" w:rsidRPr="009D7DCF" w:rsidRDefault="009B43F8" w:rsidP="00BF2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8">
        <w:rPr>
          <w:rFonts w:ascii="Times New Roman" w:hAnsi="Times New Roman" w:cs="Times New Roman"/>
          <w:sz w:val="28"/>
          <w:szCs w:val="28"/>
          <w:lang w:val="uk-UA"/>
        </w:rPr>
        <w:t>На думку А.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9B43F8">
        <w:rPr>
          <w:rFonts w:ascii="Times New Roman" w:hAnsi="Times New Roman" w:cs="Times New Roman"/>
          <w:sz w:val="28"/>
          <w:szCs w:val="28"/>
          <w:lang w:val="uk-UA"/>
        </w:rPr>
        <w:t>Пасічніченко</w:t>
      </w:r>
      <w:proofErr w:type="spellEnd"/>
      <w:r w:rsidRPr="009B43F8">
        <w:rPr>
          <w:rFonts w:ascii="Times New Roman" w:hAnsi="Times New Roman" w:cs="Times New Roman"/>
          <w:sz w:val="28"/>
          <w:szCs w:val="28"/>
          <w:lang w:val="uk-UA"/>
        </w:rPr>
        <w:t xml:space="preserve">, формування творчої особистості є одним із актуальних виховних завдань, оскільки життя в сучасному інформаційному просторі, вимагає від людини уникання шаблонності, стереотипності дій, </w:t>
      </w:r>
      <w:r w:rsidRPr="009B43F8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розвитку таких індивідуальних особливостей мислення, як гнучкість, самостійність, здатності приймати нестандартні рішення, винахідливості, нестандартно</w:t>
      </w:r>
      <w:r w:rsidR="009D7DCF">
        <w:rPr>
          <w:rFonts w:ascii="Times New Roman" w:hAnsi="Times New Roman" w:cs="Times New Roman"/>
          <w:sz w:val="28"/>
          <w:szCs w:val="28"/>
          <w:lang w:val="uk-UA"/>
        </w:rPr>
        <w:t>го підходу до вирішення проблем [4</w:t>
      </w:r>
      <w:r w:rsidR="009D7DCF" w:rsidRPr="009D7DC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D7D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15FE" w:rsidRDefault="00DE15FE" w:rsidP="00DE1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творчої компетентності студентів – це процес співпраці викладача та студента. Викладачу ЗВО важливо спрямовувати свою діяльність на формування у студентів творчих навичок, а саме:</w:t>
      </w:r>
    </w:p>
    <w:p w:rsidR="00DE15FE" w:rsidRDefault="009D7DCF" w:rsidP="00DE1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-у</w:t>
      </w:r>
      <w:r w:rsidR="00DE15FE">
        <w:rPr>
          <w:rFonts w:ascii="Times New Roman" w:hAnsi="Times New Roman" w:cs="Times New Roman"/>
          <w:sz w:val="28"/>
          <w:szCs w:val="28"/>
          <w:lang w:val="uk-UA"/>
        </w:rPr>
        <w:t>міння бачити та сформулювати проблему;</w:t>
      </w:r>
    </w:p>
    <w:p w:rsidR="00DE15FE" w:rsidRDefault="009D7DCF" w:rsidP="00DE1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-у</w:t>
      </w:r>
      <w:r w:rsidR="00DE15FE">
        <w:rPr>
          <w:rFonts w:ascii="Times New Roman" w:hAnsi="Times New Roman" w:cs="Times New Roman"/>
          <w:sz w:val="28"/>
          <w:szCs w:val="28"/>
          <w:lang w:val="uk-UA"/>
        </w:rPr>
        <w:t>міння знаходити нові, нестандартні рішення проблеми;</w:t>
      </w:r>
    </w:p>
    <w:p w:rsidR="00DE15FE" w:rsidRDefault="00DE15FE" w:rsidP="00DE1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-планування дій щодо розв’язання проблеми;</w:t>
      </w:r>
    </w:p>
    <w:p w:rsidR="00DE15FE" w:rsidRDefault="00DE15FE" w:rsidP="00DE1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-активізація творчих здібностей;</w:t>
      </w:r>
    </w:p>
    <w:p w:rsidR="00DE15FE" w:rsidRDefault="00DE15FE" w:rsidP="00DE1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-реалізація творчого потенціалу.</w:t>
      </w:r>
    </w:p>
    <w:p w:rsidR="00DE15FE" w:rsidRPr="00BF2489" w:rsidRDefault="00DE15FE" w:rsidP="00DE1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4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творчої компетентності, згідно з концепцією креативності, як універсальної творчої здібності (за </w:t>
      </w:r>
      <w:proofErr w:type="spellStart"/>
      <w:r w:rsidRPr="00BF2489">
        <w:rPr>
          <w:rFonts w:ascii="Times New Roman" w:hAnsi="Times New Roman" w:cs="Times New Roman"/>
          <w:bCs/>
          <w:sz w:val="28"/>
          <w:szCs w:val="28"/>
          <w:lang w:val="uk-UA"/>
        </w:rPr>
        <w:t>Дж</w:t>
      </w:r>
      <w:proofErr w:type="spellEnd"/>
      <w:r w:rsidRPr="00BF24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BF2489">
        <w:rPr>
          <w:rFonts w:ascii="Times New Roman" w:hAnsi="Times New Roman" w:cs="Times New Roman"/>
          <w:bCs/>
          <w:sz w:val="28"/>
          <w:szCs w:val="28"/>
          <w:lang w:val="uk-UA"/>
        </w:rPr>
        <w:t>Гілфордом</w:t>
      </w:r>
      <w:proofErr w:type="spellEnd"/>
      <w:r w:rsidRPr="00BF2489">
        <w:rPr>
          <w:rFonts w:ascii="Times New Roman" w:hAnsi="Times New Roman" w:cs="Times New Roman"/>
          <w:bCs/>
          <w:sz w:val="28"/>
          <w:szCs w:val="28"/>
          <w:lang w:val="uk-UA"/>
        </w:rPr>
        <w:t>) відносять:</w:t>
      </w:r>
    </w:p>
    <w:p w:rsidR="00DE15FE" w:rsidRPr="00041866" w:rsidRDefault="00DE15FE" w:rsidP="00DE1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8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і постановки проблем;</w:t>
      </w:r>
    </w:p>
    <w:p w:rsidR="00DE15FE" w:rsidRPr="00041866" w:rsidRDefault="00DE15FE" w:rsidP="00DE1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8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великого числа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>;</w:t>
      </w:r>
    </w:p>
    <w:p w:rsidR="00DE15FE" w:rsidRPr="00041866" w:rsidRDefault="00DE15FE" w:rsidP="00DE1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8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>);</w:t>
      </w:r>
    </w:p>
    <w:p w:rsidR="00DE15FE" w:rsidRPr="00041866" w:rsidRDefault="00DE15FE" w:rsidP="00DE1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8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подразники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нестандартно (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оригінальність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>);</w:t>
      </w:r>
    </w:p>
    <w:p w:rsidR="00DE15FE" w:rsidRPr="00041866" w:rsidRDefault="00DE15FE" w:rsidP="00DE1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8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додаючи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деталі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>;</w:t>
      </w:r>
    </w:p>
    <w:p w:rsidR="00DE15FE" w:rsidRDefault="00DE15FE" w:rsidP="00DE1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8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186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041866">
        <w:rPr>
          <w:rFonts w:ascii="Times New Roman" w:hAnsi="Times New Roman" w:cs="Times New Roman"/>
          <w:sz w:val="28"/>
          <w:szCs w:val="28"/>
        </w:rPr>
        <w:t xml:space="preserve"> і синтезу.</w:t>
      </w:r>
    </w:p>
    <w:p w:rsidR="00206536" w:rsidRDefault="000F05B8" w:rsidP="0020653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AA6977">
        <w:rPr>
          <w:rFonts w:ascii="Times New Roman" w:hAnsi="Times New Roman" w:cs="Times New Roman"/>
          <w:sz w:val="28"/>
          <w:szCs w:val="28"/>
          <w:lang w:val="uk-UA"/>
        </w:rPr>
        <w:t>Для конкретизації поняття «творча компетентність представимо висвітлення наукової дефініції «творча компетентність» науковцями (табл.1).</w:t>
      </w:r>
      <w:r w:rsidR="00BF2489" w:rsidRPr="000F05B8">
        <w:rPr>
          <w:rFonts w:ascii="Times New Roman" w:hAnsi="Times New Roman" w:cs="Times New Roman"/>
          <w:color w:val="C00000"/>
          <w:sz w:val="28"/>
          <w:szCs w:val="28"/>
          <w:lang w:val="uk-UA"/>
        </w:rPr>
        <w:tab/>
      </w:r>
      <w:r w:rsidR="00BF2489">
        <w:rPr>
          <w:rFonts w:ascii="Times New Roman" w:hAnsi="Times New Roman" w:cs="Times New Roman"/>
          <w:color w:val="C00000"/>
          <w:sz w:val="28"/>
          <w:szCs w:val="28"/>
          <w:lang w:val="uk-UA"/>
        </w:rPr>
        <w:tab/>
      </w:r>
      <w:r w:rsidR="00BF2489">
        <w:rPr>
          <w:rFonts w:ascii="Times New Roman" w:hAnsi="Times New Roman" w:cs="Times New Roman"/>
          <w:color w:val="C00000"/>
          <w:sz w:val="28"/>
          <w:szCs w:val="28"/>
          <w:lang w:val="uk-UA"/>
        </w:rPr>
        <w:tab/>
      </w:r>
      <w:r w:rsidR="00BF2489">
        <w:rPr>
          <w:rFonts w:ascii="Times New Roman" w:hAnsi="Times New Roman" w:cs="Times New Roman"/>
          <w:color w:val="C00000"/>
          <w:sz w:val="28"/>
          <w:szCs w:val="28"/>
          <w:lang w:val="uk-UA"/>
        </w:rPr>
        <w:tab/>
      </w:r>
      <w:r w:rsidR="00BF2489">
        <w:rPr>
          <w:rFonts w:ascii="Times New Roman" w:hAnsi="Times New Roman" w:cs="Times New Roman"/>
          <w:color w:val="C00000"/>
          <w:sz w:val="28"/>
          <w:szCs w:val="28"/>
          <w:lang w:val="uk-UA"/>
        </w:rPr>
        <w:tab/>
      </w:r>
      <w:r w:rsidR="00BF2489">
        <w:rPr>
          <w:rFonts w:ascii="Times New Roman" w:hAnsi="Times New Roman" w:cs="Times New Roman"/>
          <w:color w:val="C00000"/>
          <w:sz w:val="28"/>
          <w:szCs w:val="28"/>
          <w:lang w:val="uk-UA"/>
        </w:rPr>
        <w:tab/>
      </w:r>
      <w:r w:rsidR="00BF2489">
        <w:rPr>
          <w:rFonts w:ascii="Times New Roman" w:hAnsi="Times New Roman" w:cs="Times New Roman"/>
          <w:color w:val="C00000"/>
          <w:sz w:val="28"/>
          <w:szCs w:val="28"/>
          <w:lang w:val="uk-UA"/>
        </w:rPr>
        <w:tab/>
      </w:r>
      <w:r w:rsidR="00BF2489">
        <w:rPr>
          <w:rFonts w:ascii="Times New Roman" w:hAnsi="Times New Roman" w:cs="Times New Roman"/>
          <w:color w:val="C00000"/>
          <w:sz w:val="28"/>
          <w:szCs w:val="28"/>
          <w:lang w:val="uk-UA"/>
        </w:rPr>
        <w:tab/>
      </w:r>
      <w:r w:rsidR="00BF2489">
        <w:rPr>
          <w:rFonts w:ascii="Times New Roman" w:hAnsi="Times New Roman" w:cs="Times New Roman"/>
          <w:color w:val="C00000"/>
          <w:sz w:val="28"/>
          <w:szCs w:val="28"/>
          <w:lang w:val="uk-UA"/>
        </w:rPr>
        <w:tab/>
      </w:r>
      <w:r w:rsidR="00BF2489">
        <w:rPr>
          <w:rFonts w:ascii="Times New Roman" w:hAnsi="Times New Roman" w:cs="Times New Roman"/>
          <w:color w:val="C00000"/>
          <w:sz w:val="28"/>
          <w:szCs w:val="28"/>
          <w:lang w:val="uk-UA"/>
        </w:rPr>
        <w:tab/>
      </w:r>
    </w:p>
    <w:p w:rsidR="00BF2489" w:rsidRPr="00CE256F" w:rsidRDefault="00BF2489" w:rsidP="00206536">
      <w:pPr>
        <w:shd w:val="clear" w:color="auto" w:fill="FFFFFF"/>
        <w:spacing w:after="0" w:line="360" w:lineRule="auto"/>
        <w:ind w:left="778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E256F">
        <w:rPr>
          <w:rFonts w:ascii="Times New Roman" w:hAnsi="Times New Roman" w:cs="Times New Roman"/>
          <w:i/>
          <w:sz w:val="28"/>
          <w:szCs w:val="28"/>
          <w:lang w:val="uk-UA"/>
        </w:rPr>
        <w:t>Таблиця 1</w:t>
      </w:r>
    </w:p>
    <w:p w:rsidR="00BF2489" w:rsidRPr="003C63DC" w:rsidRDefault="00BF2489" w:rsidP="00BF2489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3C63DC">
        <w:rPr>
          <w:rFonts w:ascii="Times New Roman" w:hAnsi="Times New Roman" w:cs="Times New Roman"/>
          <w:b/>
          <w:sz w:val="28"/>
          <w:szCs w:val="28"/>
          <w:lang w:val="uk-UA"/>
        </w:rPr>
        <w:t>Сутність поняття «творча компетентність»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2262"/>
      </w:tblGrid>
      <w:tr w:rsidR="00BF2489" w:rsidRPr="00580A73" w:rsidTr="000B6173">
        <w:tc>
          <w:tcPr>
            <w:tcW w:w="7366" w:type="dxa"/>
          </w:tcPr>
          <w:p w:rsidR="00BF2489" w:rsidRPr="000F05B8" w:rsidRDefault="00BF2489" w:rsidP="00BF24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05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Визначення сутності поняття «творча компетентність»</w:t>
            </w:r>
          </w:p>
        </w:tc>
        <w:tc>
          <w:tcPr>
            <w:tcW w:w="2262" w:type="dxa"/>
          </w:tcPr>
          <w:p w:rsidR="00BF2489" w:rsidRPr="000F05B8" w:rsidRDefault="00BF2489" w:rsidP="00BF24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05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Джерело</w:t>
            </w:r>
          </w:p>
        </w:tc>
      </w:tr>
      <w:tr w:rsidR="00BF2489" w:rsidRPr="00580A73" w:rsidTr="000B6173">
        <w:tc>
          <w:tcPr>
            <w:tcW w:w="7366" w:type="dxa"/>
          </w:tcPr>
          <w:p w:rsidR="00BF2489" w:rsidRPr="00580A73" w:rsidRDefault="00BF2489" w:rsidP="00BF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A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>нання</w:t>
            </w:r>
            <w:proofErr w:type="spellEnd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>навички</w:t>
            </w:r>
            <w:proofErr w:type="spellEnd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>необхідні</w:t>
            </w:r>
            <w:proofErr w:type="spellEnd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>успішної</w:t>
            </w:r>
            <w:proofErr w:type="spellEnd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>творчої</w:t>
            </w:r>
            <w:proofErr w:type="spellEnd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>можливість</w:t>
            </w:r>
            <w:proofErr w:type="spellEnd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>використати</w:t>
            </w:r>
            <w:proofErr w:type="spellEnd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>житті</w:t>
            </w:r>
            <w:proofErr w:type="spellEnd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proofErr w:type="spellStart"/>
            <w:r w:rsidRPr="00580A73">
              <w:rPr>
                <w:rFonts w:ascii="Times New Roman" w:hAnsi="Times New Roman" w:cs="Times New Roman"/>
                <w:sz w:val="28"/>
                <w:szCs w:val="28"/>
              </w:rPr>
              <w:t>практиці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2" w:type="dxa"/>
          </w:tcPr>
          <w:p w:rsidR="00BF2489" w:rsidRPr="00580A73" w:rsidRDefault="00D05B60" w:rsidP="00BF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BF2489" w:rsidRPr="00580A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</w:t>
            </w:r>
            <w:proofErr w:type="spellEnd"/>
            <w:r w:rsidR="00BF2489" w:rsidRPr="00580A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2489" w:rsidRPr="00580A73">
              <w:rPr>
                <w:rFonts w:ascii="Times New Roman" w:hAnsi="Times New Roman" w:cs="Times New Roman"/>
                <w:sz w:val="28"/>
                <w:szCs w:val="28"/>
              </w:rPr>
              <w:t>[1]</w:t>
            </w:r>
          </w:p>
        </w:tc>
      </w:tr>
      <w:tr w:rsidR="00BF2489" w:rsidRPr="00580A73" w:rsidTr="000B6173">
        <w:tc>
          <w:tcPr>
            <w:tcW w:w="7366" w:type="dxa"/>
          </w:tcPr>
          <w:p w:rsidR="00BF2489" w:rsidRPr="00580A73" w:rsidRDefault="00BF2489" w:rsidP="00BF248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80A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здатність людини</w:t>
            </w:r>
            <w:r w:rsidRPr="00580A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val="uk-UA"/>
              </w:rPr>
              <w:t>генеру</w:t>
            </w:r>
            <w:r w:rsidRPr="00580A7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shd w:val="clear" w:color="auto" w:fill="FFFFFF"/>
                <w:lang w:val="uk-UA"/>
              </w:rPr>
              <w:t>вати ідеї, висувати гіпотези; здібність фантазувати; асо</w:t>
            </w:r>
            <w:r w:rsidRPr="00580A7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ціативність мислення; здібність бачити </w:t>
            </w:r>
            <w:r w:rsidRPr="00580A7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lastRenderedPageBreak/>
              <w:t>протиріччя;</w:t>
            </w:r>
            <w:r w:rsidRPr="00580A7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  <w:lang w:val="uk-UA"/>
              </w:rPr>
              <w:t>здібність переносити знання та вміння у нові ситуації;</w:t>
            </w:r>
            <w:r w:rsidRPr="00580A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здібність відмовитися від нав'язливої ідеї, подолати</w:t>
            </w:r>
            <w:r w:rsidRPr="00580A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інертність мислення; незалежність суджень; критич</w:t>
            </w:r>
            <w:r w:rsidRPr="00580A7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shd w:val="clear" w:color="auto" w:fill="FFFFFF"/>
                <w:lang w:val="uk-UA"/>
              </w:rPr>
              <w:t xml:space="preserve">ність мислення, здібність </w:t>
            </w:r>
            <w:proofErr w:type="spellStart"/>
            <w:r w:rsidRPr="00580A7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shd w:val="clear" w:color="auto" w:fill="FFFFFF"/>
                <w:lang w:val="uk-UA"/>
              </w:rPr>
              <w:t>оцінно</w:t>
            </w:r>
            <w:proofErr w:type="spellEnd"/>
            <w:r w:rsidRPr="00580A7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shd w:val="clear" w:color="auto" w:fill="FFFFFF"/>
                <w:lang w:val="uk-UA"/>
              </w:rPr>
              <w:t xml:space="preserve"> судити.</w:t>
            </w:r>
          </w:p>
        </w:tc>
        <w:tc>
          <w:tcPr>
            <w:tcW w:w="2262" w:type="dxa"/>
          </w:tcPr>
          <w:p w:rsidR="00BF2489" w:rsidRPr="00580A73" w:rsidRDefault="00D05B60" w:rsidP="00BF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С.</w:t>
            </w:r>
            <w:r w:rsidR="00BF2489" w:rsidRPr="00580A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</w:t>
            </w:r>
            <w:proofErr w:type="spellEnd"/>
            <w:r w:rsidR="00BF2489" w:rsidRPr="00580A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2489" w:rsidRPr="00580A73">
              <w:rPr>
                <w:rFonts w:ascii="Times New Roman" w:hAnsi="Times New Roman" w:cs="Times New Roman"/>
                <w:sz w:val="28"/>
                <w:szCs w:val="28"/>
              </w:rPr>
              <w:t>[2, с.32]</w:t>
            </w:r>
          </w:p>
        </w:tc>
      </w:tr>
      <w:tr w:rsidR="00FB6F8A" w:rsidRPr="00FB6F8A" w:rsidTr="000B6173">
        <w:tc>
          <w:tcPr>
            <w:tcW w:w="7366" w:type="dxa"/>
          </w:tcPr>
          <w:p w:rsidR="00FB6F8A" w:rsidRPr="00FB6F8A" w:rsidRDefault="00FB6F8A" w:rsidP="00BF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Педагогічна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творчість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суб’єкта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навчально-виховного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така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умов для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індивідуальної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обдарованості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вихованців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стимулювання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вихованців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творчості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особистості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засобами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поваги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любові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творів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FB6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</w:tcPr>
          <w:p w:rsidR="00FB6F8A" w:rsidRPr="00580A73" w:rsidRDefault="00FB6F8A" w:rsidP="00BF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Н.Ковалевська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D7D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[3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с. 276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]</w:t>
            </w:r>
          </w:p>
        </w:tc>
      </w:tr>
      <w:tr w:rsidR="009D7DCF" w:rsidRPr="00FB6F8A" w:rsidTr="000B6173">
        <w:tc>
          <w:tcPr>
            <w:tcW w:w="7366" w:type="dxa"/>
          </w:tcPr>
          <w:p w:rsidR="009D7DCF" w:rsidRPr="00580A73" w:rsidRDefault="009D7DCF" w:rsidP="009D7D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Здатність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інтеграції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знань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навичок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їх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використанням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умовах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вимог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зовнішнього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середовища,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що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змінюються.</w:t>
            </w:r>
            <w:r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262" w:type="dxa"/>
          </w:tcPr>
          <w:p w:rsidR="009D7DCF" w:rsidRPr="00580A73" w:rsidRDefault="00D05B60" w:rsidP="009D7D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  <w:r w:rsidR="009D7DCF" w:rsidRPr="00580A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Гуревич</w:t>
            </w:r>
            <w:proofErr w:type="spellEnd"/>
            <w:r w:rsidR="009D7DCF" w:rsidRPr="00580A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D7D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[5</w:t>
            </w:r>
            <w:r w:rsidR="009D7DCF"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9D7DCF"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9D7DCF" w:rsidRPr="00580A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с. 306]</w:t>
            </w:r>
          </w:p>
        </w:tc>
      </w:tr>
      <w:tr w:rsidR="00BF2489" w:rsidRPr="00580A73" w:rsidTr="000B6173">
        <w:tc>
          <w:tcPr>
            <w:tcW w:w="7366" w:type="dxa"/>
          </w:tcPr>
          <w:p w:rsidR="00BF2489" w:rsidRPr="00580A73" w:rsidRDefault="00BF2489" w:rsidP="00BF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A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Найвищий рівень розвитку професійної компетентності, коли людина здійснює професійну діяльність на творчій основі (стабільно, неперервно), тоді як професійна компетентність може не досягати рівня творчої компетентності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2" w:type="dxa"/>
          </w:tcPr>
          <w:p w:rsidR="00BF2489" w:rsidRPr="00580A73" w:rsidRDefault="00D05B60" w:rsidP="00BF24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BF2489" w:rsidRPr="00580A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Яланська</w:t>
            </w:r>
            <w:proofErr w:type="spellEnd"/>
            <w:r w:rsidR="00BF2489" w:rsidRPr="00580A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D7DCF" w:rsidRPr="009D7DCF">
              <w:rPr>
                <w:rFonts w:ascii="Times New Roman" w:hAnsi="Times New Roman" w:cs="Times New Roman"/>
                <w:sz w:val="28"/>
                <w:szCs w:val="28"/>
              </w:rPr>
              <w:t>[6</w:t>
            </w:r>
            <w:r w:rsidR="00BF2489" w:rsidRPr="009D7D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D7D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BF2489" w:rsidRPr="00580A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.123-125</w:t>
            </w:r>
            <w:r w:rsidR="00BF2489" w:rsidRPr="00580A73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:rsidR="00BF2489" w:rsidRDefault="00BF2489" w:rsidP="00BF2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15FE" w:rsidRDefault="00DE15FE" w:rsidP="00DE1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на основі аналізу різних підходів науковців до поняття «творча компетентність» під творчою компетентністю ми розуміємо інтегровану особистісну характеристику, яка забезпечує здатність особистості творчо, нестандартно розв’язувати поставлені завдання.</w:t>
      </w:r>
    </w:p>
    <w:p w:rsidR="00954570" w:rsidRPr="00954570" w:rsidRDefault="00BF2489" w:rsidP="00BF2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54570" w:rsidRPr="00954570">
        <w:rPr>
          <w:rFonts w:ascii="Times New Roman" w:hAnsi="Times New Roman" w:cs="Times New Roman"/>
          <w:sz w:val="28"/>
          <w:szCs w:val="28"/>
        </w:rPr>
        <w:t xml:space="preserve">ворча </w:t>
      </w:r>
      <w:proofErr w:type="spellStart"/>
      <w:r w:rsidR="00954570" w:rsidRPr="00954570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="00954570"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570" w:rsidRPr="00954570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="00954570" w:rsidRPr="00954570">
        <w:rPr>
          <w:rFonts w:ascii="Times New Roman" w:hAnsi="Times New Roman" w:cs="Times New Roman"/>
          <w:sz w:val="28"/>
          <w:szCs w:val="28"/>
        </w:rPr>
        <w:t xml:space="preserve"> ЗВО – </w:t>
      </w:r>
      <w:proofErr w:type="spellStart"/>
      <w:r w:rsidR="00954570" w:rsidRPr="0095457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954570" w:rsidRPr="009545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4570" w:rsidRPr="00954570" w:rsidRDefault="00DE15FE" w:rsidP="00BF2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proofErr w:type="spellStart"/>
      <w:r w:rsidR="00954570" w:rsidRPr="00954570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="00954570" w:rsidRPr="009545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570" w:rsidRPr="0095457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54570"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570" w:rsidRPr="00954570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="00954570"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570" w:rsidRPr="00954570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954570"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570" w:rsidRPr="00954570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954570"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570" w:rsidRPr="0095457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954570"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570" w:rsidRPr="00954570">
        <w:rPr>
          <w:rFonts w:ascii="Times New Roman" w:hAnsi="Times New Roman" w:cs="Times New Roman"/>
          <w:sz w:val="28"/>
          <w:szCs w:val="28"/>
        </w:rPr>
        <w:t>цілком</w:t>
      </w:r>
      <w:proofErr w:type="spellEnd"/>
      <w:r w:rsidR="00954570" w:rsidRPr="009545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54570" w:rsidRPr="00954570" w:rsidRDefault="00954570" w:rsidP="00BF2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57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DE15FE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="00DE15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15FE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DE15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E15FE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570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, </w:t>
      </w:r>
      <w:r w:rsidR="00DE15FE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proofErr w:type="spellStart"/>
      <w:r w:rsidR="00DE15FE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54570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570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57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54570" w:rsidRDefault="00954570" w:rsidP="00BF2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5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54570">
        <w:rPr>
          <w:rFonts w:ascii="Times New Roman" w:hAnsi="Times New Roman" w:cs="Times New Roman"/>
          <w:sz w:val="28"/>
          <w:szCs w:val="28"/>
        </w:rPr>
        <w:t>особистісні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570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570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457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5F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DE15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E15FE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="00DE1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5FE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457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 </w:t>
      </w:r>
      <w:r w:rsidR="00DE15FE">
        <w:rPr>
          <w:rFonts w:ascii="Times New Roman" w:hAnsi="Times New Roman" w:cs="Times New Roman"/>
          <w:sz w:val="28"/>
          <w:szCs w:val="28"/>
          <w:lang w:val="uk-UA"/>
        </w:rPr>
        <w:t xml:space="preserve">дозволяє </w:t>
      </w:r>
      <w:r w:rsidR="00D05B60">
        <w:rPr>
          <w:rFonts w:ascii="Times New Roman" w:hAnsi="Times New Roman" w:cs="Times New Roman"/>
          <w:sz w:val="28"/>
          <w:szCs w:val="28"/>
          <w:lang w:val="uk-UA"/>
        </w:rPr>
        <w:t xml:space="preserve">розв’язувати </w:t>
      </w:r>
      <w:proofErr w:type="spellStart"/>
      <w:r w:rsidRPr="00954570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57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>.</w:t>
      </w:r>
    </w:p>
    <w:p w:rsidR="00335E4C" w:rsidRDefault="00335E4C" w:rsidP="00BF2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954570">
        <w:rPr>
          <w:rFonts w:ascii="Times New Roman" w:hAnsi="Times New Roman" w:cs="Times New Roman"/>
          <w:sz w:val="28"/>
          <w:szCs w:val="28"/>
        </w:rPr>
        <w:t>рофесійна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57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954570">
        <w:rPr>
          <w:rFonts w:ascii="Times New Roman" w:hAnsi="Times New Roman" w:cs="Times New Roman"/>
          <w:sz w:val="28"/>
          <w:szCs w:val="28"/>
        </w:rPr>
        <w:t>икладач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Pr="00954570">
        <w:rPr>
          <w:rFonts w:ascii="Times New Roman" w:hAnsi="Times New Roman" w:cs="Times New Roman"/>
          <w:sz w:val="28"/>
          <w:szCs w:val="28"/>
        </w:rPr>
        <w:t>сформовано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570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954570">
        <w:rPr>
          <w:rFonts w:ascii="Times New Roman" w:hAnsi="Times New Roman" w:cs="Times New Roman"/>
          <w:sz w:val="28"/>
          <w:szCs w:val="28"/>
        </w:rPr>
        <w:t>високоефективною</w:t>
      </w:r>
      <w:proofErr w:type="spellEnd"/>
      <w:r w:rsidRPr="009545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у </w:t>
      </w:r>
      <w:r w:rsidR="00AA6977">
        <w:rPr>
          <w:rFonts w:ascii="Times New Roman" w:hAnsi="Times New Roman" w:cs="Times New Roman"/>
          <w:sz w:val="28"/>
          <w:szCs w:val="28"/>
          <w:lang w:val="uk-UA"/>
        </w:rPr>
        <w:t xml:space="preserve">педагога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r w:rsidRPr="00335E4C">
        <w:rPr>
          <w:rFonts w:ascii="Times New Roman" w:hAnsi="Times New Roman" w:cs="Times New Roman"/>
          <w:sz w:val="28"/>
          <w:szCs w:val="28"/>
          <w:lang w:val="uk-UA"/>
        </w:rPr>
        <w:t xml:space="preserve">сприяє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lastRenderedPageBreak/>
        <w:t>успішній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самореалізації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компетентно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DE15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5E4C">
        <w:rPr>
          <w:rFonts w:ascii="Times New Roman" w:hAnsi="Times New Roman" w:cs="Times New Roman"/>
          <w:sz w:val="28"/>
          <w:szCs w:val="28"/>
          <w:lang w:val="uk-UA"/>
        </w:rPr>
        <w:t>студентської молоді</w:t>
      </w:r>
      <w:r w:rsidRPr="00335E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335E4C">
        <w:rPr>
          <w:rFonts w:ascii="Times New Roman" w:hAnsi="Times New Roman" w:cs="Times New Roman"/>
          <w:sz w:val="28"/>
          <w:szCs w:val="28"/>
          <w:lang w:val="uk-UA"/>
        </w:rPr>
        <w:t xml:space="preserve"> ЗВО </w:t>
      </w:r>
      <w:r w:rsidRPr="00335E4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5E4C">
        <w:rPr>
          <w:rFonts w:ascii="Times New Roman" w:hAnsi="Times New Roman" w:cs="Times New Roman"/>
          <w:sz w:val="28"/>
          <w:szCs w:val="28"/>
          <w:lang w:val="uk-UA"/>
        </w:rPr>
        <w:t xml:space="preserve">важлива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фахівця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, основа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33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344E" w:rsidRPr="00041866" w:rsidRDefault="000B344E" w:rsidP="000B34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41866">
        <w:rPr>
          <w:rFonts w:ascii="Times New Roman" w:hAnsi="Times New Roman" w:cs="Times New Roman"/>
          <w:sz w:val="28"/>
          <w:szCs w:val="28"/>
          <w:lang w:val="uk-UA"/>
        </w:rPr>
        <w:t xml:space="preserve">ворчість передбачає не лише володіння певним об’ємом наукових знань, вмінь, навичок, які є дуже важливими для досягнення високих результатів у творчій професійній діяльності, а й наявність оригінального, перетворюючого підходу як у самостійному опрацюванні матеріалу, так і у подальшому його викладенні під час заняття. </w:t>
      </w:r>
    </w:p>
    <w:p w:rsidR="00335E4C" w:rsidRPr="00335E4C" w:rsidRDefault="00335E4C" w:rsidP="00BF2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5E4C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Pr="00AA6977">
        <w:rPr>
          <w:rFonts w:ascii="Times New Roman" w:hAnsi="Times New Roman" w:cs="Times New Roman"/>
          <w:iCs/>
          <w:sz w:val="28"/>
          <w:szCs w:val="28"/>
          <w:lang w:val="uk-UA"/>
        </w:rPr>
        <w:t>творча компетентність викладача ЗВО</w:t>
      </w:r>
      <w:r w:rsidRPr="00335E4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35E4C">
        <w:rPr>
          <w:rFonts w:ascii="Times New Roman" w:hAnsi="Times New Roman" w:cs="Times New Roman"/>
          <w:sz w:val="28"/>
          <w:szCs w:val="28"/>
          <w:lang w:val="uk-UA"/>
        </w:rPr>
        <w:t xml:space="preserve">– це інтегрована характеристика особистості викладача, яка забезпечує ефективність </w:t>
      </w:r>
      <w:r w:rsidR="00011F60">
        <w:rPr>
          <w:rFonts w:ascii="Times New Roman" w:hAnsi="Times New Roman" w:cs="Times New Roman"/>
          <w:sz w:val="28"/>
          <w:szCs w:val="28"/>
          <w:lang w:val="uk-UA"/>
        </w:rPr>
        <w:t xml:space="preserve">його діяльності в різних </w:t>
      </w:r>
      <w:r w:rsidRPr="00335E4C">
        <w:rPr>
          <w:rFonts w:ascii="Times New Roman" w:hAnsi="Times New Roman" w:cs="Times New Roman"/>
          <w:sz w:val="28"/>
          <w:szCs w:val="28"/>
          <w:lang w:val="uk-UA"/>
        </w:rPr>
        <w:t>ситуаціях педагогічного спілкування</w:t>
      </w:r>
      <w:r w:rsidR="00011F60">
        <w:rPr>
          <w:rFonts w:ascii="Times New Roman" w:hAnsi="Times New Roman" w:cs="Times New Roman"/>
          <w:sz w:val="28"/>
          <w:szCs w:val="28"/>
          <w:lang w:val="uk-UA"/>
        </w:rPr>
        <w:t xml:space="preserve"> зі студентською молоддю</w:t>
      </w:r>
      <w:r w:rsidRPr="00335E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2175B" w:rsidRDefault="00AA6977" w:rsidP="00BF2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Переконані, для висококваліфікованого фахівця важливо володіти</w:t>
      </w:r>
      <w:r w:rsidR="00C2175B" w:rsidRPr="00C2175B">
        <w:rPr>
          <w:rFonts w:ascii="Times New Roman" w:hAnsi="Times New Roman" w:cs="Times New Roman"/>
          <w:sz w:val="28"/>
          <w:szCs w:val="28"/>
          <w:lang w:val="uk-UA"/>
        </w:rPr>
        <w:t xml:space="preserve"> творчою компетентністю – найвищим рівнем розвитку професійної компетентності, коли особистість здійснює професійну діяльність на творчій основі стабільно і неперервно.</w:t>
      </w:r>
    </w:p>
    <w:p w:rsidR="00D05B60" w:rsidRDefault="00D05B60" w:rsidP="009D7DC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9D7DCF" w:rsidRPr="009D7DCF" w:rsidRDefault="009D7DCF" w:rsidP="009D7DC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9D7DCF">
        <w:rPr>
          <w:rFonts w:ascii="Times New Roman" w:hAnsi="Times New Roman" w:cs="Times New Roman"/>
          <w:sz w:val="24"/>
          <w:szCs w:val="24"/>
          <w:lang w:val="uk-UA"/>
        </w:rPr>
        <w:t>Література:</w:t>
      </w:r>
    </w:p>
    <w:p w:rsidR="000B344E" w:rsidRPr="009D7DCF" w:rsidRDefault="009D7DCF" w:rsidP="009D7DC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1. </w:t>
      </w:r>
      <w:r w:rsidR="000B344E" w:rsidRPr="009D7DCF">
        <w:rPr>
          <w:rFonts w:ascii="Times New Roman" w:hAnsi="Times New Roman" w:cs="Times New Roman"/>
          <w:sz w:val="24"/>
          <w:szCs w:val="24"/>
          <w:lang w:val="uk-UA"/>
        </w:rPr>
        <w:t>Бондар С. Методи навчання : тради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ції та інновації. </w:t>
      </w:r>
      <w:r w:rsidR="000B344E" w:rsidRPr="009D7DCF">
        <w:rPr>
          <w:rFonts w:ascii="Times New Roman" w:hAnsi="Times New Roman" w:cs="Times New Roman"/>
          <w:i/>
          <w:sz w:val="24"/>
          <w:szCs w:val="24"/>
          <w:lang w:val="uk-UA"/>
        </w:rPr>
        <w:t>Біологія і хімія в школі</w:t>
      </w:r>
      <w:r>
        <w:rPr>
          <w:rFonts w:ascii="Times New Roman" w:hAnsi="Times New Roman" w:cs="Times New Roman"/>
          <w:sz w:val="24"/>
          <w:szCs w:val="24"/>
          <w:lang w:val="uk-UA"/>
        </w:rPr>
        <w:t>. 2000. № 5. С. 13-</w:t>
      </w:r>
      <w:r w:rsidR="000B344E" w:rsidRPr="009D7DCF">
        <w:rPr>
          <w:rFonts w:ascii="Times New Roman" w:hAnsi="Times New Roman" w:cs="Times New Roman"/>
          <w:sz w:val="24"/>
          <w:szCs w:val="24"/>
          <w:lang w:val="uk-UA"/>
        </w:rPr>
        <w:t>16.</w:t>
      </w:r>
    </w:p>
    <w:p w:rsidR="00580A73" w:rsidRDefault="009D7DCF" w:rsidP="009D7DCF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2. </w:t>
      </w:r>
      <w:r w:rsidR="00580A73" w:rsidRPr="009D7DCF">
        <w:rPr>
          <w:color w:val="000000"/>
          <w:lang w:val="uk-UA"/>
        </w:rPr>
        <w:t xml:space="preserve">Гуманізація процесу навчання в школі: </w:t>
      </w:r>
      <w:r w:rsidR="00580A73" w:rsidRPr="009D7DCF">
        <w:rPr>
          <w:i/>
          <w:color w:val="000000"/>
          <w:lang w:val="uk-UA"/>
        </w:rPr>
        <w:t>Навчальний посібник</w:t>
      </w:r>
      <w:r>
        <w:rPr>
          <w:color w:val="000000"/>
          <w:lang w:val="uk-UA"/>
        </w:rPr>
        <w:t xml:space="preserve"> /За ред. </w:t>
      </w:r>
      <w:proofErr w:type="spellStart"/>
      <w:r>
        <w:rPr>
          <w:color w:val="000000"/>
          <w:lang w:val="uk-UA"/>
        </w:rPr>
        <w:t>С.П.Бондар</w:t>
      </w:r>
      <w:proofErr w:type="spellEnd"/>
      <w:r>
        <w:rPr>
          <w:color w:val="000000"/>
          <w:lang w:val="uk-UA"/>
        </w:rPr>
        <w:t xml:space="preserve">. 2-ге вид., </w:t>
      </w:r>
      <w:proofErr w:type="spellStart"/>
      <w:r>
        <w:rPr>
          <w:color w:val="000000"/>
          <w:lang w:val="uk-UA"/>
        </w:rPr>
        <w:t>доповн</w:t>
      </w:r>
      <w:proofErr w:type="spellEnd"/>
      <w:r>
        <w:rPr>
          <w:color w:val="000000"/>
          <w:lang w:val="uk-UA"/>
        </w:rPr>
        <w:t xml:space="preserve">. К.: </w:t>
      </w:r>
      <w:proofErr w:type="spellStart"/>
      <w:r>
        <w:rPr>
          <w:color w:val="000000"/>
          <w:lang w:val="uk-UA"/>
        </w:rPr>
        <w:t>Стислос</w:t>
      </w:r>
      <w:proofErr w:type="spellEnd"/>
      <w:r>
        <w:rPr>
          <w:color w:val="000000"/>
          <w:lang w:val="uk-UA"/>
        </w:rPr>
        <w:t>, 2001.</w:t>
      </w:r>
      <w:r w:rsidR="00580A73" w:rsidRPr="009D7DCF">
        <w:rPr>
          <w:color w:val="000000"/>
          <w:lang w:val="uk-UA"/>
        </w:rPr>
        <w:t xml:space="preserve"> 256 с.</w:t>
      </w:r>
    </w:p>
    <w:p w:rsidR="00FB6F8A" w:rsidRPr="009D7DCF" w:rsidRDefault="009D7DCF" w:rsidP="009D7DCF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3. </w:t>
      </w:r>
      <w:proofErr w:type="spellStart"/>
      <w:r w:rsidR="00FB6F8A" w:rsidRPr="009D7DCF">
        <w:rPr>
          <w:rFonts w:ascii="Times New Roman" w:hAnsi="Times New Roman" w:cs="Times New Roman"/>
          <w:sz w:val="24"/>
          <w:szCs w:val="24"/>
        </w:rPr>
        <w:t>Ковалевська</w:t>
      </w:r>
      <w:proofErr w:type="spellEnd"/>
      <w:r w:rsidR="00FB6F8A" w:rsidRPr="009D7DCF">
        <w:rPr>
          <w:rFonts w:ascii="Times New Roman" w:hAnsi="Times New Roman" w:cs="Times New Roman"/>
          <w:sz w:val="24"/>
          <w:szCs w:val="24"/>
        </w:rPr>
        <w:t xml:space="preserve"> Н.В. Креативна </w:t>
      </w:r>
      <w:proofErr w:type="spellStart"/>
      <w:r w:rsidR="00FB6F8A" w:rsidRPr="009D7DCF">
        <w:rPr>
          <w:rFonts w:ascii="Times New Roman" w:hAnsi="Times New Roman" w:cs="Times New Roman"/>
          <w:sz w:val="24"/>
          <w:szCs w:val="24"/>
        </w:rPr>
        <w:t>компетентність</w:t>
      </w:r>
      <w:proofErr w:type="spellEnd"/>
      <w:r w:rsidR="00FB6F8A" w:rsidRPr="009D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F8A" w:rsidRPr="009D7DCF">
        <w:rPr>
          <w:rFonts w:ascii="Times New Roman" w:hAnsi="Times New Roman" w:cs="Times New Roman"/>
          <w:sz w:val="24"/>
          <w:szCs w:val="24"/>
        </w:rPr>
        <w:t>майбутнього</w:t>
      </w:r>
      <w:proofErr w:type="spellEnd"/>
      <w:r w:rsidR="00FB6F8A" w:rsidRPr="009D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F8A" w:rsidRPr="009D7DCF">
        <w:rPr>
          <w:rFonts w:ascii="Times New Roman" w:hAnsi="Times New Roman" w:cs="Times New Roman"/>
          <w:sz w:val="24"/>
          <w:szCs w:val="24"/>
        </w:rPr>
        <w:t>вихователя</w:t>
      </w:r>
      <w:proofErr w:type="spellEnd"/>
      <w:r w:rsidR="00FB6F8A" w:rsidRPr="009D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F8A" w:rsidRPr="009D7DC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="00FB6F8A" w:rsidRPr="009D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F8A" w:rsidRPr="009D7DCF">
        <w:rPr>
          <w:rFonts w:ascii="Times New Roman" w:hAnsi="Times New Roman" w:cs="Times New Roman"/>
          <w:sz w:val="24"/>
          <w:szCs w:val="24"/>
        </w:rPr>
        <w:t>дошкільного</w:t>
      </w:r>
      <w:proofErr w:type="spellEnd"/>
      <w:r w:rsidR="00FB6F8A" w:rsidRPr="009D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F8A" w:rsidRPr="009D7DCF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="00FB6F8A" w:rsidRPr="009D7DC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FB6F8A" w:rsidRPr="009D7DCF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="00FB6F8A" w:rsidRPr="009D7DCF">
        <w:rPr>
          <w:rFonts w:ascii="Times New Roman" w:hAnsi="Times New Roman" w:cs="Times New Roman"/>
          <w:sz w:val="24"/>
          <w:szCs w:val="24"/>
        </w:rPr>
        <w:t xml:space="preserve"> ресурс]. </w:t>
      </w:r>
      <w:r w:rsidR="000B344E" w:rsidRPr="009D7DCF">
        <w:rPr>
          <w:rFonts w:ascii="Times New Roman" w:hAnsi="Times New Roman" w:cs="Times New Roman"/>
          <w:sz w:val="24"/>
          <w:szCs w:val="24"/>
        </w:rPr>
        <w:t>Режим доступу</w:t>
      </w:r>
      <w:r w:rsidR="00FB6F8A" w:rsidRPr="009D7DC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http://ped_2009_03_49_Kovalevska.pdf</w:t>
        </w:r>
      </w:hyperlink>
    </w:p>
    <w:p w:rsidR="00BE5B37" w:rsidRPr="00BE5B37" w:rsidRDefault="009D7DCF" w:rsidP="009D7D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4. </w:t>
      </w:r>
      <w:proofErr w:type="spellStart"/>
      <w:r w:rsidR="00BE5B37" w:rsidRPr="009D7DCF">
        <w:rPr>
          <w:rFonts w:ascii="Times New Roman" w:hAnsi="Times New Roman" w:cs="Times New Roman"/>
          <w:sz w:val="24"/>
          <w:szCs w:val="24"/>
          <w:lang w:val="uk-UA"/>
        </w:rPr>
        <w:t>Пасічніченко</w:t>
      </w:r>
      <w:proofErr w:type="spellEnd"/>
      <w:r w:rsidR="00BE5B37" w:rsidRPr="009D7DCF">
        <w:rPr>
          <w:rFonts w:ascii="Times New Roman" w:hAnsi="Times New Roman" w:cs="Times New Roman"/>
          <w:sz w:val="24"/>
          <w:szCs w:val="24"/>
          <w:lang w:val="uk-UA"/>
        </w:rPr>
        <w:t xml:space="preserve"> А.В. </w:t>
      </w:r>
      <w:hyperlink r:id="rId6" w:history="1">
        <w:proofErr w:type="spellStart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Навчальна</w:t>
        </w:r>
        <w:proofErr w:type="spellEnd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дисципліна</w:t>
        </w:r>
        <w:proofErr w:type="spellEnd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«</w:t>
        </w:r>
        <w:proofErr w:type="spellStart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Психологія</w:t>
        </w:r>
        <w:proofErr w:type="spellEnd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дитячої</w:t>
        </w:r>
        <w:proofErr w:type="spellEnd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творчості</w:t>
        </w:r>
        <w:proofErr w:type="spellEnd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» у </w:t>
        </w:r>
        <w:proofErr w:type="spellStart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системі</w:t>
        </w:r>
        <w:proofErr w:type="spellEnd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професійної</w:t>
        </w:r>
        <w:proofErr w:type="spellEnd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підготовки</w:t>
        </w:r>
        <w:proofErr w:type="spellEnd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майбутнього</w:t>
        </w:r>
        <w:proofErr w:type="spellEnd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вихователя</w:t>
        </w:r>
        <w:proofErr w:type="spellEnd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дошкільного</w:t>
        </w:r>
        <w:proofErr w:type="spellEnd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навчального</w:t>
        </w:r>
        <w:proofErr w:type="spellEnd"/>
        <w:r w:rsidR="00BE5B37" w:rsidRPr="009D7DC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закладу</w:t>
        </w:r>
      </w:hyperlink>
      <w:r w:rsidR="00BE5B37" w:rsidRPr="009D7DCF">
        <w:rPr>
          <w:rFonts w:ascii="Times New Roman" w:hAnsi="Times New Roman" w:cs="Times New Roman"/>
          <w:sz w:val="24"/>
          <w:szCs w:val="24"/>
          <w:lang w:val="uk-UA"/>
        </w:rPr>
        <w:t>. Педагогіка та психологія.</w:t>
      </w:r>
      <w:r w:rsidR="00BE5B37" w:rsidRPr="009D7D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E5B37" w:rsidRPr="009D7D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Харків</w:t>
      </w:r>
      <w:proofErr w:type="spellEnd"/>
      <w:r w:rsidR="00BE5B37" w:rsidRPr="009D7D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="00BE5B37" w:rsidRPr="009D7D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Видавець</w:t>
      </w:r>
      <w:proofErr w:type="spellEnd"/>
      <w:r w:rsidR="00BE5B37" w:rsidRPr="009D7D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Рожко С.Г.</w:t>
      </w:r>
      <w:r w:rsidR="00BE5B37" w:rsidRPr="009D7D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, 2018.</w:t>
      </w:r>
      <w:r w:rsidR="00BE5B37" w:rsidRPr="009D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BE5B37" w:rsidRPr="009D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Випуск</w:t>
      </w:r>
      <w:proofErr w:type="spellEnd"/>
      <w:r w:rsidR="00BE5B37" w:rsidRPr="009D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56</w:t>
      </w:r>
      <w:r w:rsidR="00BE5B37" w:rsidRPr="009D7DC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. </w:t>
      </w:r>
      <w:r w:rsidR="00BE5B37" w:rsidRPr="009D7D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С</w:t>
      </w:r>
      <w:r w:rsidR="00BE5B37" w:rsidRPr="009D7DCF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BE5B37" w:rsidRPr="00BE5B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285-293</w:t>
      </w:r>
    </w:p>
    <w:p w:rsidR="009D7DCF" w:rsidRPr="009D7DCF" w:rsidRDefault="009D7DCF" w:rsidP="009D7DCF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5. </w:t>
      </w:r>
      <w:r>
        <w:rPr>
          <w:rFonts w:ascii="Times New Roman" w:hAnsi="Times New Roman" w:cs="Times New Roman"/>
          <w:sz w:val="24"/>
          <w:szCs w:val="24"/>
        </w:rPr>
        <w:t>Психологический словарь / П</w:t>
      </w:r>
      <w:r w:rsidRPr="009D7DCF">
        <w:rPr>
          <w:rFonts w:ascii="Times New Roman" w:hAnsi="Times New Roman" w:cs="Times New Roman"/>
          <w:sz w:val="24"/>
          <w:szCs w:val="24"/>
        </w:rPr>
        <w:t>од общ</w:t>
      </w:r>
      <w:r>
        <w:rPr>
          <w:rFonts w:ascii="Times New Roman" w:hAnsi="Times New Roman" w:cs="Times New Roman"/>
          <w:sz w:val="24"/>
          <w:szCs w:val="24"/>
        </w:rPr>
        <w:t>. науч. ред. П. С. Гуревича. М.</w:t>
      </w:r>
      <w:r w:rsidRPr="009D7DCF">
        <w:rPr>
          <w:rFonts w:ascii="Times New Roman" w:hAnsi="Times New Roman" w:cs="Times New Roman"/>
          <w:sz w:val="24"/>
          <w:szCs w:val="24"/>
        </w:rPr>
        <w:t>, 2007. 800 с</w:t>
      </w:r>
    </w:p>
    <w:p w:rsidR="00927D23" w:rsidRDefault="00D05B60" w:rsidP="00EB7DCC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6. </w:t>
      </w:r>
      <w:proofErr w:type="spellStart"/>
      <w:r w:rsidR="003C63DC" w:rsidRPr="009D7DCF">
        <w:rPr>
          <w:rFonts w:ascii="Times New Roman" w:hAnsi="Times New Roman" w:cs="Times New Roman"/>
          <w:sz w:val="24"/>
          <w:szCs w:val="24"/>
          <w:lang w:val="uk-UA"/>
        </w:rPr>
        <w:t>Яланська</w:t>
      </w:r>
      <w:proofErr w:type="spellEnd"/>
      <w:r w:rsidR="003C63DC" w:rsidRPr="009D7DCF">
        <w:rPr>
          <w:rFonts w:ascii="Times New Roman" w:hAnsi="Times New Roman" w:cs="Times New Roman"/>
          <w:sz w:val="24"/>
          <w:szCs w:val="24"/>
          <w:lang w:val="uk-UA"/>
        </w:rPr>
        <w:t xml:space="preserve"> С.П. Психологічні засади розвитку творчості майбутніх учителів біологічних дисциплін: теорія і практика : </w:t>
      </w:r>
      <w:r w:rsidR="003C63DC" w:rsidRPr="00D05B60">
        <w:rPr>
          <w:rFonts w:ascii="Times New Roman" w:hAnsi="Times New Roman" w:cs="Times New Roman"/>
          <w:i/>
          <w:sz w:val="24"/>
          <w:szCs w:val="24"/>
          <w:lang w:val="uk-UA"/>
        </w:rPr>
        <w:t>Монографія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C63DC" w:rsidRPr="009D7DCF">
        <w:rPr>
          <w:rFonts w:ascii="Times New Roman" w:hAnsi="Times New Roman" w:cs="Times New Roman"/>
          <w:sz w:val="24"/>
          <w:szCs w:val="24"/>
          <w:lang w:val="uk-UA"/>
        </w:rPr>
        <w:t xml:space="preserve"> Полтава: ПНПУ ім.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В.Г. Короленка, 2010. </w:t>
      </w:r>
      <w:r w:rsidR="003C63DC" w:rsidRPr="009D7DCF">
        <w:rPr>
          <w:rFonts w:ascii="Times New Roman" w:hAnsi="Times New Roman" w:cs="Times New Roman"/>
          <w:sz w:val="24"/>
          <w:szCs w:val="24"/>
          <w:lang w:val="uk-UA"/>
        </w:rPr>
        <w:t xml:space="preserve"> 374 с.</w:t>
      </w:r>
    </w:p>
    <w:p w:rsidR="000B344E" w:rsidRPr="000B344E" w:rsidRDefault="00206536" w:rsidP="00206536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6536">
        <w:rPr>
          <w:rFonts w:ascii="Times New Roman" w:hAnsi="Times New Roman" w:cs="Times New Roman"/>
          <w:sz w:val="24"/>
          <w:szCs w:val="24"/>
          <w:lang w:val="uk-UA"/>
        </w:rPr>
        <w:lastRenderedPageBreak/>
        <w:t>7. </w:t>
      </w:r>
      <w:proofErr w:type="spellStart"/>
      <w:r w:rsidRPr="00206536">
        <w:rPr>
          <w:rFonts w:ascii="Times New Roman" w:hAnsi="Times New Roman" w:cs="Times New Roman"/>
          <w:sz w:val="24"/>
          <w:szCs w:val="24"/>
          <w:lang w:val="uk-UA"/>
        </w:rPr>
        <w:t>Яланська</w:t>
      </w:r>
      <w:proofErr w:type="spellEnd"/>
      <w:r w:rsidRPr="00206536">
        <w:rPr>
          <w:rFonts w:ascii="Times New Roman" w:hAnsi="Times New Roman" w:cs="Times New Roman"/>
          <w:sz w:val="24"/>
          <w:szCs w:val="24"/>
          <w:lang w:val="uk-UA"/>
        </w:rPr>
        <w:t xml:space="preserve"> С. П., </w:t>
      </w:r>
      <w:proofErr w:type="spellStart"/>
      <w:r w:rsidRPr="00206536">
        <w:rPr>
          <w:rFonts w:ascii="Times New Roman" w:hAnsi="Times New Roman" w:cs="Times New Roman"/>
          <w:sz w:val="24"/>
          <w:szCs w:val="24"/>
          <w:lang w:val="uk-UA"/>
        </w:rPr>
        <w:t>Атаманчук</w:t>
      </w:r>
      <w:proofErr w:type="spellEnd"/>
      <w:r w:rsidRPr="00206536">
        <w:rPr>
          <w:rFonts w:ascii="Times New Roman" w:hAnsi="Times New Roman" w:cs="Times New Roman"/>
          <w:sz w:val="24"/>
          <w:szCs w:val="24"/>
          <w:lang w:val="uk-UA"/>
        </w:rPr>
        <w:t xml:space="preserve"> Н. М. Проблема </w:t>
      </w:r>
      <w:proofErr w:type="spellStart"/>
      <w:r w:rsidRPr="00206536">
        <w:rPr>
          <w:rFonts w:ascii="Times New Roman" w:hAnsi="Times New Roman" w:cs="Times New Roman"/>
          <w:sz w:val="24"/>
          <w:szCs w:val="24"/>
          <w:lang w:val="uk-UA"/>
        </w:rPr>
        <w:t>развития</w:t>
      </w:r>
      <w:proofErr w:type="spellEnd"/>
      <w:r w:rsidRPr="00206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6536">
        <w:rPr>
          <w:rFonts w:ascii="Times New Roman" w:hAnsi="Times New Roman" w:cs="Times New Roman"/>
          <w:sz w:val="24"/>
          <w:szCs w:val="24"/>
          <w:lang w:val="uk-UA"/>
        </w:rPr>
        <w:t>творческой</w:t>
      </w:r>
      <w:proofErr w:type="spellEnd"/>
      <w:r w:rsidRPr="00206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6536">
        <w:rPr>
          <w:rFonts w:ascii="Times New Roman" w:hAnsi="Times New Roman" w:cs="Times New Roman"/>
          <w:sz w:val="24"/>
          <w:szCs w:val="24"/>
          <w:lang w:val="uk-UA"/>
        </w:rPr>
        <w:t>компетентности</w:t>
      </w:r>
      <w:proofErr w:type="spellEnd"/>
      <w:r w:rsidRPr="00206536">
        <w:rPr>
          <w:rFonts w:ascii="Times New Roman" w:hAnsi="Times New Roman" w:cs="Times New Roman"/>
          <w:sz w:val="24"/>
          <w:szCs w:val="24"/>
          <w:lang w:val="uk-UA"/>
        </w:rPr>
        <w:t xml:space="preserve"> педагога / </w:t>
      </w:r>
      <w:proofErr w:type="spellStart"/>
      <w:r w:rsidRPr="00206536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206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6536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06536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206536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206536">
        <w:rPr>
          <w:rFonts w:ascii="Times New Roman" w:hAnsi="Times New Roman" w:cs="Times New Roman"/>
          <w:sz w:val="24"/>
          <w:szCs w:val="24"/>
          <w:lang w:val="uk-UA"/>
        </w:rPr>
        <w:t xml:space="preserve">í </w:t>
      </w:r>
      <w:r w:rsidRPr="00206536">
        <w:rPr>
          <w:rFonts w:ascii="Times New Roman" w:hAnsi="Times New Roman" w:cs="Times New Roman"/>
          <w:sz w:val="24"/>
          <w:szCs w:val="24"/>
        </w:rPr>
        <w:t>v</w:t>
      </w:r>
      <w:r w:rsidRPr="00206536">
        <w:rPr>
          <w:rFonts w:ascii="Times New Roman" w:hAnsi="Times New Roman" w:cs="Times New Roman"/>
          <w:sz w:val="24"/>
          <w:szCs w:val="24"/>
          <w:lang w:val="uk-UA"/>
        </w:rPr>
        <w:t>ě</w:t>
      </w:r>
      <w:proofErr w:type="spellStart"/>
      <w:r w:rsidRPr="00206536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20653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206536">
        <w:rPr>
          <w:rFonts w:ascii="Times New Roman" w:hAnsi="Times New Roman" w:cs="Times New Roman"/>
          <w:sz w:val="24"/>
          <w:szCs w:val="24"/>
        </w:rPr>
        <w:t>Praha</w:t>
      </w:r>
      <w:proofErr w:type="spellEnd"/>
      <w:r w:rsidRPr="00206536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206536">
        <w:rPr>
          <w:rFonts w:ascii="Times New Roman" w:hAnsi="Times New Roman" w:cs="Times New Roman"/>
          <w:sz w:val="24"/>
          <w:szCs w:val="24"/>
        </w:rPr>
        <w:t>Ceska</w:t>
      </w:r>
      <w:proofErr w:type="spellEnd"/>
      <w:r w:rsidRPr="00206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6536">
        <w:rPr>
          <w:rFonts w:ascii="Times New Roman" w:hAnsi="Times New Roman" w:cs="Times New Roman"/>
          <w:sz w:val="24"/>
          <w:szCs w:val="24"/>
        </w:rPr>
        <w:t>republika</w:t>
      </w:r>
      <w:proofErr w:type="spellEnd"/>
      <w:r w:rsidRPr="002065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06536">
        <w:rPr>
          <w:rFonts w:ascii="Times New Roman" w:hAnsi="Times New Roman" w:cs="Times New Roman"/>
          <w:sz w:val="24"/>
          <w:szCs w:val="24"/>
        </w:rPr>
        <w:t>Nemoros</w:t>
      </w:r>
      <w:proofErr w:type="spellEnd"/>
      <w:r w:rsidRPr="00206536">
        <w:rPr>
          <w:rFonts w:ascii="Times New Roman" w:hAnsi="Times New Roman" w:cs="Times New Roman"/>
          <w:sz w:val="24"/>
          <w:szCs w:val="24"/>
          <w:lang w:val="uk-UA"/>
        </w:rPr>
        <w:t>.  2015. №4. 67-72.</w:t>
      </w:r>
    </w:p>
    <w:p w:rsidR="000B344E" w:rsidRDefault="000B344E" w:rsidP="00BF2489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B344E" w:rsidSect="00D364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72C54"/>
    <w:multiLevelType w:val="hybridMultilevel"/>
    <w:tmpl w:val="873CACA2"/>
    <w:lvl w:ilvl="0" w:tplc="347611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986A5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56F8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AEE2FC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344DF4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98697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761BE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46E372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85214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91C29"/>
    <w:multiLevelType w:val="hybridMultilevel"/>
    <w:tmpl w:val="F7FE4E52"/>
    <w:lvl w:ilvl="0" w:tplc="6E6A3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78332C"/>
    <w:multiLevelType w:val="hybridMultilevel"/>
    <w:tmpl w:val="BA280102"/>
    <w:lvl w:ilvl="0" w:tplc="CB0E660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61F2747"/>
    <w:multiLevelType w:val="multilevel"/>
    <w:tmpl w:val="255A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793A97"/>
    <w:multiLevelType w:val="hybridMultilevel"/>
    <w:tmpl w:val="A2040F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5A"/>
    <w:rsid w:val="00011F60"/>
    <w:rsid w:val="00041866"/>
    <w:rsid w:val="000A367E"/>
    <w:rsid w:val="000B344E"/>
    <w:rsid w:val="000F05B8"/>
    <w:rsid w:val="00100DCF"/>
    <w:rsid w:val="00192E56"/>
    <w:rsid w:val="00195606"/>
    <w:rsid w:val="00206536"/>
    <w:rsid w:val="002665B2"/>
    <w:rsid w:val="00335E4C"/>
    <w:rsid w:val="00340688"/>
    <w:rsid w:val="0035235A"/>
    <w:rsid w:val="003C63DC"/>
    <w:rsid w:val="0044491D"/>
    <w:rsid w:val="00491395"/>
    <w:rsid w:val="0050049C"/>
    <w:rsid w:val="005027EF"/>
    <w:rsid w:val="0054554A"/>
    <w:rsid w:val="00580A73"/>
    <w:rsid w:val="006723B0"/>
    <w:rsid w:val="007940F4"/>
    <w:rsid w:val="00856BAC"/>
    <w:rsid w:val="00860867"/>
    <w:rsid w:val="008D22B4"/>
    <w:rsid w:val="008F6C9A"/>
    <w:rsid w:val="00927D23"/>
    <w:rsid w:val="00954570"/>
    <w:rsid w:val="009B43F8"/>
    <w:rsid w:val="009B5380"/>
    <w:rsid w:val="009C139F"/>
    <w:rsid w:val="009D7DCF"/>
    <w:rsid w:val="00AA6977"/>
    <w:rsid w:val="00AE4D23"/>
    <w:rsid w:val="00B21188"/>
    <w:rsid w:val="00BE5B37"/>
    <w:rsid w:val="00BF2489"/>
    <w:rsid w:val="00C2175B"/>
    <w:rsid w:val="00C60A51"/>
    <w:rsid w:val="00CE256F"/>
    <w:rsid w:val="00D05B60"/>
    <w:rsid w:val="00D3648A"/>
    <w:rsid w:val="00DE15FE"/>
    <w:rsid w:val="00EB7DCC"/>
    <w:rsid w:val="00EC53FB"/>
    <w:rsid w:val="00EC5B6F"/>
    <w:rsid w:val="00F43556"/>
    <w:rsid w:val="00F93FC8"/>
    <w:rsid w:val="00FA1A72"/>
    <w:rsid w:val="00FB6F8A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F446A-CF51-480E-B4C4-08358C12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3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3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36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A36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E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E5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E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E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E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E5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92E5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C53FB"/>
    <w:rPr>
      <w:color w:val="0000FF"/>
      <w:u w:val="single"/>
    </w:rPr>
  </w:style>
  <w:style w:type="table" w:styleId="ac">
    <w:name w:val="Table Grid"/>
    <w:basedOn w:val="a1"/>
    <w:uiPriority w:val="39"/>
    <w:rsid w:val="003C6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58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0B344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A3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3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36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36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785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434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8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scholar?oi=bibs&amp;cluster=8050446034137462118&amp;btnI=1&amp;hl=ru" TargetMode="External"/><Relationship Id="rId5" Type="http://schemas.openxmlformats.org/officeDocument/2006/relationships/hyperlink" Target="http://ped_2009_03_49_Kovalevsk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2021-05-03T07:43:00Z</dcterms:created>
  <dcterms:modified xsi:type="dcterms:W3CDTF">2021-06-08T17:14:00Z</dcterms:modified>
</cp:coreProperties>
</file>