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F08" w:rsidRPr="00793F08" w:rsidRDefault="00793F08" w:rsidP="00793F08">
      <w:pPr>
        <w:contextualSpacing/>
        <w:jc w:val="both"/>
        <w:rPr>
          <w:rFonts w:ascii="Times New Roman" w:eastAsia="Cambria-Bold" w:hAnsi="Times New Roman" w:cs="Times New Roman"/>
          <w:bCs/>
          <w:sz w:val="24"/>
          <w:szCs w:val="24"/>
          <w:lang w:val="uk-UA"/>
        </w:rPr>
      </w:pPr>
      <w:r w:rsidRPr="00793F08">
        <w:rPr>
          <w:rFonts w:ascii="Times New Roman" w:eastAsia="Cambria-Bold" w:hAnsi="Times New Roman" w:cs="Times New Roman"/>
          <w:bCs/>
          <w:sz w:val="24"/>
          <w:szCs w:val="24"/>
          <w:lang w:val="uk-UA"/>
        </w:rPr>
        <w:t xml:space="preserve">Яланська С.П. Прояви конструктивних та деструктивних ресурсів особистості в динаміці життєвого шляху // </w:t>
      </w:r>
      <w:r w:rsidRPr="00793F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Міжнародна науково-практична конференція «Тенденції та перспективи розвитку психології та соціальної роботи в сучасному суспільстві», Одеса, 5 листопада 2020 рік.</w:t>
      </w:r>
      <w:bookmarkStart w:id="0" w:name="_GoBack"/>
      <w:bookmarkEnd w:id="0"/>
    </w:p>
    <w:p w:rsidR="00793F08" w:rsidRDefault="00793F08" w:rsidP="00262AAD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F3A1F" w:rsidRDefault="001F3A1F" w:rsidP="00262AAD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Прояви конструктивних</w:t>
      </w:r>
      <w:r w:rsidR="00262AA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та дестру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ктивних ресурсів особистості</w:t>
      </w:r>
      <w:r w:rsidR="00262AA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</w:p>
    <w:p w:rsidR="00262AAD" w:rsidRPr="00262AAD" w:rsidRDefault="001F3A1F" w:rsidP="00262AAD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 динаміці життєвого шляху</w:t>
      </w:r>
    </w:p>
    <w:p w:rsidR="00262AAD" w:rsidRDefault="00262AAD" w:rsidP="00CA0E4D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</w:pPr>
    </w:p>
    <w:p w:rsidR="00CA0E4D" w:rsidRPr="00CA0E4D" w:rsidRDefault="00CA0E4D" w:rsidP="00CA0E4D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С.П. Яланська</w:t>
      </w:r>
    </w:p>
    <w:p w:rsidR="00CA0E4D" w:rsidRDefault="00CA0E4D" w:rsidP="00CA0E4D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в.о. завідувача кафедри психології та педагогіки </w:t>
      </w:r>
    </w:p>
    <w:p w:rsidR="00CA0E4D" w:rsidRPr="00CA0E4D" w:rsidRDefault="00CA0E4D" w:rsidP="00CA0E4D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Національний університет «Полтавська політехніка імені Юрія Кондратюка»</w:t>
      </w:r>
    </w:p>
    <w:p w:rsidR="00262AAD" w:rsidRDefault="00262AAD" w:rsidP="00CA0E4D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017B7" w:rsidRPr="006017B7" w:rsidRDefault="00262AAD" w:rsidP="006017B7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Говорячи про </w:t>
      </w:r>
      <w:r w:rsidR="006450D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психічне здоров’</w:t>
      </w:r>
      <w:r w:rsidR="001F3A1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я, </w:t>
      </w:r>
      <w:r w:rsidR="006450D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здоровий спосіб життя</w:t>
      </w:r>
      <w:r w:rsidR="001F3A1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життєвий шлях </w:t>
      </w:r>
      <w:r w:rsidR="006450D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сучасної особистості</w:t>
      </w:r>
      <w:r w:rsidR="001F3A1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="006450D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ми маємо пам’ятати про конструктивні та деструктивні</w:t>
      </w:r>
      <w:r w:rsidR="001F3A1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ресурси</w:t>
      </w:r>
      <w:r w:rsidR="006450D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які впливають </w:t>
      </w:r>
      <w:r w:rsidR="00465A8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на </w:t>
      </w:r>
      <w:r w:rsidR="006450D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кожного з нас. </w:t>
      </w:r>
      <w:r w:rsidR="001F3A1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Такі ресурси, вектори</w:t>
      </w:r>
      <w:r w:rsidR="00465A8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визначено </w:t>
      </w:r>
      <w:r w:rsidR="00B5711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 монографії</w:t>
      </w:r>
      <w:r w:rsidR="00465A80" w:rsidRPr="00442E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442ED1" w:rsidRPr="002E1CDC">
        <w:rPr>
          <w:rFonts w:ascii="Times New Roman" w:hAnsi="Times New Roman" w:cs="Times New Roman"/>
          <w:sz w:val="28"/>
          <w:szCs w:val="28"/>
          <w:shd w:val="clear" w:color="auto" w:fill="FFFFFF"/>
        </w:rPr>
        <w:t>С.П.</w:t>
      </w:r>
      <w:r w:rsidR="00B571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442ED1" w:rsidRPr="002E1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Яланської, В.О. </w:t>
      </w:r>
      <w:proofErr w:type="spellStart"/>
      <w:r w:rsidR="00442ED1" w:rsidRPr="002E1CDC">
        <w:rPr>
          <w:rFonts w:ascii="Times New Roman" w:hAnsi="Times New Roman" w:cs="Times New Roman"/>
          <w:sz w:val="28"/>
          <w:szCs w:val="28"/>
          <w:shd w:val="clear" w:color="auto" w:fill="FFFFFF"/>
        </w:rPr>
        <w:t>Моляко</w:t>
      </w:r>
      <w:proofErr w:type="spellEnd"/>
      <w:r w:rsidR="00442ED1" w:rsidRPr="002E1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1CDC" w:rsidRPr="002E1C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="00442ED1" w:rsidRPr="002E1CD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Психологія</w:t>
      </w:r>
      <w:proofErr w:type="spellEnd"/>
      <w:r w:rsidR="00442ED1" w:rsidRPr="002E1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42ED1" w:rsidRPr="002E1CDC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протистояння</w:t>
      </w:r>
      <w:proofErr w:type="spellEnd"/>
      <w:r w:rsidR="00442ED1" w:rsidRPr="002E1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конструктивного та деструктивного</w:t>
      </w:r>
      <w:r w:rsidR="002E1CDC" w:rsidRPr="002E1C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5978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9789A" w:rsidRPr="0059789A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5978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59789A" w:rsidRPr="0059789A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  <w:r w:rsidR="00B57118" w:rsidRPr="00763232">
        <w:rPr>
          <w:rFonts w:ascii="Times New Roman" w:hAnsi="Times New Roman" w:cs="Times New Roman"/>
          <w:sz w:val="28"/>
          <w:szCs w:val="28"/>
          <w:shd w:val="clear" w:color="auto" w:fill="F9F2F4"/>
          <w:lang w:val="uk-UA"/>
        </w:rPr>
        <w:t xml:space="preserve"> </w:t>
      </w:r>
      <w:r w:rsidR="00F373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165C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37313" w:rsidRPr="00F37313">
        <w:rPr>
          <w:rFonts w:ascii="Times New Roman" w:hAnsi="Times New Roman" w:cs="Times New Roman"/>
          <w:sz w:val="28"/>
          <w:szCs w:val="28"/>
          <w:lang w:val="uk-UA"/>
        </w:rPr>
        <w:t>першому р</w:t>
      </w:r>
      <w:proofErr w:type="spellStart"/>
      <w:r w:rsidR="00F37313" w:rsidRPr="00F37313">
        <w:rPr>
          <w:rFonts w:ascii="Times New Roman" w:hAnsi="Times New Roman" w:cs="Times New Roman"/>
          <w:sz w:val="28"/>
          <w:szCs w:val="28"/>
        </w:rPr>
        <w:t>озділі</w:t>
      </w:r>
      <w:proofErr w:type="spellEnd"/>
      <w:r w:rsidR="00F37313" w:rsidRPr="00F37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313" w:rsidRPr="00F37313">
        <w:rPr>
          <w:rFonts w:ascii="Times New Roman" w:hAnsi="Times New Roman" w:cs="Times New Roman"/>
          <w:sz w:val="28"/>
          <w:szCs w:val="28"/>
        </w:rPr>
        <w:t>розкрито</w:t>
      </w:r>
      <w:proofErr w:type="spellEnd"/>
      <w:r w:rsidR="00F37313" w:rsidRPr="00F37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313" w:rsidRPr="00F37313">
        <w:rPr>
          <w:rFonts w:ascii="Times New Roman" w:hAnsi="Times New Roman" w:cs="Times New Roman"/>
          <w:sz w:val="28"/>
          <w:szCs w:val="28"/>
        </w:rPr>
        <w:t>деструктивний</w:t>
      </w:r>
      <w:proofErr w:type="spellEnd"/>
      <w:r w:rsidR="00F37313" w:rsidRPr="00F37313">
        <w:rPr>
          <w:rFonts w:ascii="Times New Roman" w:hAnsi="Times New Roman" w:cs="Times New Roman"/>
          <w:sz w:val="28"/>
          <w:szCs w:val="28"/>
        </w:rPr>
        <w:t xml:space="preserve"> </w:t>
      </w:r>
      <w:r w:rsidR="00E165C8" w:rsidRPr="0070704C">
        <w:rPr>
          <w:rFonts w:ascii="Times New Roman" w:hAnsi="Times New Roman" w:cs="Times New Roman"/>
          <w:sz w:val="28"/>
          <w:szCs w:val="28"/>
          <w:lang w:val="uk-UA"/>
        </w:rPr>
        <w:t>(дурість, заздрість)</w:t>
      </w:r>
      <w:r w:rsidR="00E165C8">
        <w:rPr>
          <w:lang w:val="uk-UA"/>
        </w:rPr>
        <w:t xml:space="preserve"> </w:t>
      </w:r>
      <w:r w:rsidR="00F37313" w:rsidRPr="00F3731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F37313" w:rsidRPr="00F37313">
        <w:rPr>
          <w:rFonts w:ascii="Times New Roman" w:hAnsi="Times New Roman" w:cs="Times New Roman"/>
          <w:sz w:val="28"/>
          <w:szCs w:val="28"/>
        </w:rPr>
        <w:t>конструктивний</w:t>
      </w:r>
      <w:proofErr w:type="spellEnd"/>
      <w:r w:rsidR="00F37313" w:rsidRPr="00F37313">
        <w:rPr>
          <w:rFonts w:ascii="Times New Roman" w:hAnsi="Times New Roman" w:cs="Times New Roman"/>
          <w:sz w:val="28"/>
          <w:szCs w:val="28"/>
        </w:rPr>
        <w:t xml:space="preserve"> </w:t>
      </w:r>
      <w:r w:rsidR="00E165C8">
        <w:rPr>
          <w:rFonts w:ascii="Times New Roman" w:hAnsi="Times New Roman" w:cs="Times New Roman"/>
          <w:sz w:val="28"/>
          <w:szCs w:val="28"/>
          <w:lang w:val="uk-UA"/>
        </w:rPr>
        <w:t xml:space="preserve">(толерантність) </w:t>
      </w:r>
      <w:r w:rsidR="00F37313" w:rsidRPr="00F37313">
        <w:rPr>
          <w:rFonts w:ascii="Times New Roman" w:hAnsi="Times New Roman" w:cs="Times New Roman"/>
          <w:sz w:val="28"/>
          <w:szCs w:val="28"/>
        </w:rPr>
        <w:t>вектор</w:t>
      </w:r>
      <w:r w:rsidR="00F37313" w:rsidRPr="00F37313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F37313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психології </w:t>
      </w:r>
      <w:proofErr w:type="spellStart"/>
      <w:r w:rsidR="00F37313" w:rsidRPr="00F3731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F37313" w:rsidRPr="00F37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313" w:rsidRPr="00F3731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F37313">
        <w:rPr>
          <w:rFonts w:ascii="Times New Roman" w:hAnsi="Times New Roman" w:cs="Times New Roman"/>
          <w:sz w:val="28"/>
          <w:szCs w:val="28"/>
          <w:lang w:val="uk-UA"/>
        </w:rPr>
        <w:t xml:space="preserve">, у другому представлено </w:t>
      </w:r>
      <w:r w:rsidR="002A3351">
        <w:rPr>
          <w:rFonts w:ascii="Times New Roman" w:hAnsi="Times New Roman" w:cs="Times New Roman"/>
          <w:sz w:val="28"/>
          <w:szCs w:val="28"/>
          <w:lang w:val="uk-UA"/>
        </w:rPr>
        <w:t>програму розвитку толерантності особистості в освітньому просторі.</w:t>
      </w:r>
      <w:r w:rsidR="009F7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Також </w:t>
      </w:r>
      <w:r w:rsidR="006010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конструктивний вектор (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проблему толерантності</w:t>
      </w:r>
      <w:r w:rsidR="006010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розкрито в  англомовному посібнику «</w:t>
      </w:r>
      <w:proofErr w:type="spellStart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Tolerance</w:t>
      </w:r>
      <w:proofErr w:type="spellEnd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Volunteerism</w:t>
      </w:r>
      <w:proofErr w:type="spellEnd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Leadership</w:t>
      </w:r>
      <w:proofErr w:type="spellEnd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(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394FE4">
        <w:rPr>
          <w:lang w:val="uk-UA"/>
        </w:rPr>
        <w:t> </w:t>
      </w:r>
      <w:proofErr w:type="spellStart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Kapustian</w:t>
      </w:r>
      <w:proofErr w:type="spellEnd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Yalanska</w:t>
      </w:r>
      <w:proofErr w:type="spellEnd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proofErr w:type="spellStart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Nikolashina</w:t>
      </w:r>
      <w:proofErr w:type="spellEnd"/>
      <w:r w:rsidR="00FC1D64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et</w:t>
      </w:r>
      <w:proofErr w:type="spellEnd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proofErr w:type="spellStart"/>
      <w:r w:rsidR="009F70B0" w:rsidRPr="001D0DD2">
        <w:rPr>
          <w:rFonts w:ascii="Times New Roman" w:hAnsi="Times New Roman" w:cs="Times New Roman"/>
          <w:sz w:val="28"/>
          <w:szCs w:val="28"/>
          <w:shd w:val="clear" w:color="auto" w:fill="FFFFFF"/>
        </w:rPr>
        <w:t>al</w:t>
      </w:r>
      <w:proofErr w:type="spellEnd"/>
      <w:r w:rsidR="006010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який може використовуватися іноземними студентами під час вивчення психології, психології успіху, педагогіки та інших дисциплін </w:t>
      </w:r>
      <w:r w:rsidR="0059789A" w:rsidRPr="005978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[</w:t>
      </w:r>
      <w:r w:rsidR="005978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59789A" w:rsidRPr="005978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].</w:t>
      </w:r>
      <w:r w:rsidR="0059789A" w:rsidRPr="00763232">
        <w:rPr>
          <w:rFonts w:ascii="Times New Roman" w:hAnsi="Times New Roman" w:cs="Times New Roman"/>
          <w:sz w:val="28"/>
          <w:szCs w:val="28"/>
          <w:shd w:val="clear" w:color="auto" w:fill="F9F2F4"/>
          <w:lang w:val="uk-UA"/>
        </w:rPr>
        <w:t xml:space="preserve"> </w:t>
      </w:r>
    </w:p>
    <w:p w:rsidR="007A6F0F" w:rsidRDefault="00C21451" w:rsidP="002F47CD">
      <w:pPr>
        <w:pStyle w:val="Style18"/>
        <w:widowControl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Окрім вище згаданих векторів вважаємо по</w:t>
      </w:r>
      <w:r w:rsidR="001F3A1F">
        <w:rPr>
          <w:sz w:val="28"/>
          <w:szCs w:val="28"/>
          <w:lang w:val="uk-UA"/>
        </w:rPr>
        <w:t>тужним конструктивним ресурсом</w:t>
      </w:r>
      <w:r>
        <w:rPr>
          <w:sz w:val="28"/>
          <w:szCs w:val="28"/>
          <w:lang w:val="uk-UA"/>
        </w:rPr>
        <w:t xml:space="preserve"> творчість, яка сприяє повному «зануренню»</w:t>
      </w:r>
      <w:r w:rsidR="002F47CD">
        <w:rPr>
          <w:sz w:val="28"/>
          <w:szCs w:val="28"/>
          <w:lang w:val="uk-UA"/>
        </w:rPr>
        <w:t xml:space="preserve"> особистості</w:t>
      </w:r>
      <w:r>
        <w:rPr>
          <w:sz w:val="28"/>
          <w:szCs w:val="28"/>
          <w:lang w:val="uk-UA"/>
        </w:rPr>
        <w:t xml:space="preserve"> в </w:t>
      </w:r>
      <w:r w:rsidR="002F47CD">
        <w:rPr>
          <w:sz w:val="28"/>
          <w:szCs w:val="28"/>
          <w:lang w:val="uk-UA"/>
        </w:rPr>
        <w:t xml:space="preserve">діяльність забарвлену інтересом, естетичним почуттям, тощо. </w:t>
      </w:r>
      <w:r w:rsidR="006017B7">
        <w:rPr>
          <w:sz w:val="28"/>
          <w:szCs w:val="28"/>
          <w:lang w:val="uk-UA"/>
        </w:rPr>
        <w:t xml:space="preserve">Варто відмітити потужний потенціал арт-практик для розвитку творчості учнів, студентів (використання метафоричних асоціативних зображень, створення «творчих продуктів», малюнкова, музична, ландшафтна, </w:t>
      </w:r>
      <w:proofErr w:type="spellStart"/>
      <w:r w:rsidR="006017B7">
        <w:rPr>
          <w:sz w:val="28"/>
          <w:szCs w:val="28"/>
          <w:lang w:val="uk-UA"/>
        </w:rPr>
        <w:t>казкотерапія</w:t>
      </w:r>
      <w:proofErr w:type="spellEnd"/>
      <w:r w:rsidR="006017B7">
        <w:rPr>
          <w:sz w:val="28"/>
          <w:szCs w:val="28"/>
          <w:lang w:val="uk-UA"/>
        </w:rPr>
        <w:t xml:space="preserve"> та ін.). </w:t>
      </w:r>
      <w:r>
        <w:rPr>
          <w:sz w:val="28"/>
          <w:szCs w:val="28"/>
          <w:lang w:val="uk-UA"/>
        </w:rPr>
        <w:t xml:space="preserve">У </w:t>
      </w:r>
      <w:r w:rsidR="003A6207">
        <w:rPr>
          <w:sz w:val="28"/>
          <w:szCs w:val="28"/>
          <w:lang w:val="uk-UA"/>
        </w:rPr>
        <w:t>процесі вивчення курсу «Психологія здоров’я та здорового способу життя»</w:t>
      </w:r>
      <w:r>
        <w:rPr>
          <w:sz w:val="28"/>
          <w:szCs w:val="28"/>
          <w:lang w:val="uk-UA"/>
        </w:rPr>
        <w:t xml:space="preserve"> на факультет</w:t>
      </w:r>
      <w:r w:rsidR="002F47CD">
        <w:rPr>
          <w:sz w:val="28"/>
          <w:szCs w:val="28"/>
          <w:lang w:val="uk-UA"/>
        </w:rPr>
        <w:t>і фізичної культури та спорту і</w:t>
      </w:r>
      <w:r>
        <w:rPr>
          <w:sz w:val="28"/>
          <w:szCs w:val="28"/>
          <w:lang w:val="uk-UA"/>
        </w:rPr>
        <w:t xml:space="preserve"> «Психологія успіху» в н</w:t>
      </w:r>
      <w:r w:rsidRPr="002F47CD">
        <w:rPr>
          <w:rFonts w:eastAsia="Times New Roman"/>
          <w:bCs/>
          <w:kern w:val="36"/>
          <w:sz w:val="28"/>
          <w:szCs w:val="28"/>
          <w:lang w:val="uk-UA" w:eastAsia="ru-RU"/>
        </w:rPr>
        <w:t>авчально-науковому</w:t>
      </w:r>
      <w:r w:rsidRPr="002F47CD">
        <w:rPr>
          <w:rFonts w:eastAsia="Times New Roman"/>
          <w:bCs/>
          <w:color w:val="auto"/>
          <w:kern w:val="36"/>
          <w:sz w:val="28"/>
          <w:szCs w:val="28"/>
          <w:lang w:val="uk-UA" w:eastAsia="ru-RU"/>
        </w:rPr>
        <w:t xml:space="preserve"> інститут</w:t>
      </w:r>
      <w:r>
        <w:rPr>
          <w:rFonts w:eastAsia="Times New Roman"/>
          <w:bCs/>
          <w:kern w:val="36"/>
          <w:sz w:val="28"/>
          <w:szCs w:val="28"/>
          <w:lang w:val="uk-UA" w:eastAsia="ru-RU"/>
        </w:rPr>
        <w:t>і</w:t>
      </w:r>
      <w:r w:rsidRPr="00C21451">
        <w:rPr>
          <w:rFonts w:eastAsia="Times New Roman"/>
          <w:bCs/>
          <w:color w:val="auto"/>
          <w:kern w:val="36"/>
          <w:sz w:val="28"/>
          <w:szCs w:val="28"/>
          <w:lang w:val="uk-UA" w:eastAsia="ru-RU"/>
        </w:rPr>
        <w:t xml:space="preserve"> </w:t>
      </w:r>
      <w:r w:rsidRPr="002F47CD">
        <w:rPr>
          <w:rFonts w:eastAsia="Times New Roman"/>
          <w:bCs/>
          <w:color w:val="auto"/>
          <w:kern w:val="36"/>
          <w:sz w:val="28"/>
          <w:szCs w:val="28"/>
          <w:lang w:val="uk-UA" w:eastAsia="ru-RU"/>
        </w:rPr>
        <w:t>інформаційних технологій</w:t>
      </w:r>
      <w:r w:rsidRPr="00C21451">
        <w:rPr>
          <w:rFonts w:eastAsia="Times New Roman"/>
          <w:bCs/>
          <w:color w:val="auto"/>
          <w:kern w:val="36"/>
          <w:sz w:val="28"/>
          <w:szCs w:val="28"/>
          <w:lang w:val="uk-UA" w:eastAsia="ru-RU"/>
        </w:rPr>
        <w:t xml:space="preserve"> </w:t>
      </w:r>
      <w:r w:rsidRPr="002F47CD">
        <w:rPr>
          <w:rFonts w:eastAsia="Times New Roman"/>
          <w:bCs/>
          <w:color w:val="auto"/>
          <w:kern w:val="36"/>
          <w:sz w:val="28"/>
          <w:szCs w:val="28"/>
          <w:lang w:val="uk-UA" w:eastAsia="ru-RU"/>
        </w:rPr>
        <w:t xml:space="preserve">і </w:t>
      </w:r>
      <w:proofErr w:type="spellStart"/>
      <w:r w:rsidRPr="002F47CD">
        <w:rPr>
          <w:rFonts w:eastAsia="Times New Roman"/>
          <w:bCs/>
          <w:color w:val="auto"/>
          <w:kern w:val="36"/>
          <w:sz w:val="28"/>
          <w:szCs w:val="28"/>
          <w:lang w:val="uk-UA" w:eastAsia="ru-RU"/>
        </w:rPr>
        <w:t>механотроніки</w:t>
      </w:r>
      <w:proofErr w:type="spellEnd"/>
      <w:r>
        <w:rPr>
          <w:rFonts w:eastAsia="Times New Roman"/>
          <w:bCs/>
          <w:kern w:val="36"/>
          <w:sz w:val="28"/>
          <w:szCs w:val="28"/>
          <w:lang w:val="uk-UA" w:eastAsia="ru-RU"/>
        </w:rPr>
        <w:t xml:space="preserve"> </w:t>
      </w:r>
      <w:r w:rsidR="002F47CD">
        <w:rPr>
          <w:rFonts w:eastAsia="Times New Roman"/>
          <w:bCs/>
          <w:kern w:val="36"/>
          <w:sz w:val="28"/>
          <w:szCs w:val="28"/>
          <w:lang w:val="uk-UA" w:eastAsia="ru-RU"/>
        </w:rPr>
        <w:t xml:space="preserve">Національного університету «Полтавська політехніка імені Юрія Кондратюка» розглядаються проблеми </w:t>
      </w:r>
      <w:r w:rsidR="002F47CD" w:rsidRPr="00D1650D">
        <w:rPr>
          <w:rFonts w:eastAsia="Times New Roman"/>
          <w:bCs/>
          <w:kern w:val="36"/>
          <w:sz w:val="28"/>
          <w:szCs w:val="28"/>
          <w:lang w:val="uk-UA" w:eastAsia="ru-RU"/>
        </w:rPr>
        <w:t>к</w:t>
      </w:r>
      <w:r w:rsidR="002F47CD" w:rsidRPr="00D1650D">
        <w:rPr>
          <w:sz w:val="28"/>
          <w:szCs w:val="28"/>
          <w:lang w:val="uk-UA"/>
        </w:rPr>
        <w:t>реативності, творчої діяльності</w:t>
      </w:r>
      <w:r w:rsidR="00D1650D">
        <w:rPr>
          <w:sz w:val="28"/>
          <w:szCs w:val="28"/>
          <w:lang w:val="uk-UA"/>
        </w:rPr>
        <w:t>, толерантності</w:t>
      </w:r>
      <w:r w:rsidR="002F47CD" w:rsidRPr="00D1650D">
        <w:rPr>
          <w:sz w:val="28"/>
          <w:szCs w:val="28"/>
          <w:lang w:val="uk-UA"/>
        </w:rPr>
        <w:t xml:space="preserve"> як ресурс</w:t>
      </w:r>
      <w:r w:rsidR="00D1650D">
        <w:rPr>
          <w:sz w:val="28"/>
          <w:szCs w:val="28"/>
          <w:lang w:val="uk-UA"/>
        </w:rPr>
        <w:t>ів</w:t>
      </w:r>
      <w:r w:rsidR="002F47CD" w:rsidRPr="00D1650D">
        <w:rPr>
          <w:sz w:val="28"/>
          <w:szCs w:val="28"/>
          <w:lang w:val="uk-UA"/>
        </w:rPr>
        <w:t xml:space="preserve"> досягнення успіху</w:t>
      </w:r>
      <w:r w:rsidR="00D1650D" w:rsidRPr="00D1650D">
        <w:rPr>
          <w:sz w:val="28"/>
          <w:szCs w:val="28"/>
          <w:lang w:val="uk-UA"/>
        </w:rPr>
        <w:t xml:space="preserve">, забезпечення </w:t>
      </w:r>
      <w:proofErr w:type="spellStart"/>
      <w:r w:rsidR="00D1650D" w:rsidRPr="00D1650D">
        <w:rPr>
          <w:sz w:val="28"/>
          <w:szCs w:val="28"/>
          <w:lang w:val="uk-UA"/>
        </w:rPr>
        <w:t>стресостійкості</w:t>
      </w:r>
      <w:proofErr w:type="spellEnd"/>
      <w:r w:rsidR="002F47CD" w:rsidRPr="00D1650D">
        <w:rPr>
          <w:sz w:val="28"/>
          <w:szCs w:val="28"/>
          <w:lang w:val="uk-UA"/>
        </w:rPr>
        <w:t>.</w:t>
      </w:r>
      <w:r w:rsidR="007A6F0F">
        <w:rPr>
          <w:sz w:val="28"/>
          <w:szCs w:val="28"/>
          <w:lang w:val="uk-UA"/>
        </w:rPr>
        <w:t xml:space="preserve"> </w:t>
      </w:r>
    </w:p>
    <w:p w:rsidR="006010DC" w:rsidRDefault="006010DC" w:rsidP="002F47CD">
      <w:pPr>
        <w:pStyle w:val="Style18"/>
        <w:widowControl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кафедрі психології та педагогіки </w:t>
      </w:r>
      <w:r w:rsidR="004C58A0">
        <w:rPr>
          <w:rFonts w:eastAsia="Times New Roman"/>
          <w:bCs/>
          <w:kern w:val="36"/>
          <w:sz w:val="28"/>
          <w:szCs w:val="28"/>
          <w:lang w:val="uk-UA" w:eastAsia="ru-RU"/>
        </w:rPr>
        <w:t xml:space="preserve">Національного університету «Полтавська політехніка імені Юрія Кондратюка» </w:t>
      </w:r>
      <w:r>
        <w:rPr>
          <w:sz w:val="28"/>
          <w:szCs w:val="28"/>
          <w:lang w:val="uk-UA"/>
        </w:rPr>
        <w:t xml:space="preserve">діє психологічна студія «Шлях до успіху» на відкритих засіданнях якої обговорюються питання </w:t>
      </w:r>
      <w:r w:rsidR="004C58A0">
        <w:rPr>
          <w:sz w:val="28"/>
          <w:szCs w:val="28"/>
          <w:lang w:val="uk-UA"/>
        </w:rPr>
        <w:t xml:space="preserve">за запитами учасників освітнього процесу. Тому значна увага відводиться </w:t>
      </w:r>
      <w:r w:rsidR="00F15423">
        <w:rPr>
          <w:sz w:val="28"/>
          <w:szCs w:val="28"/>
          <w:lang w:val="uk-UA"/>
        </w:rPr>
        <w:t xml:space="preserve">розгляду </w:t>
      </w:r>
      <w:r w:rsidR="004C58A0">
        <w:rPr>
          <w:sz w:val="28"/>
          <w:szCs w:val="28"/>
          <w:lang w:val="uk-UA"/>
        </w:rPr>
        <w:t>конструктивн</w:t>
      </w:r>
      <w:r w:rsidR="00F15423">
        <w:rPr>
          <w:sz w:val="28"/>
          <w:szCs w:val="28"/>
          <w:lang w:val="uk-UA"/>
        </w:rPr>
        <w:t>их</w:t>
      </w:r>
      <w:r w:rsidR="004C58A0">
        <w:rPr>
          <w:sz w:val="28"/>
          <w:szCs w:val="28"/>
          <w:lang w:val="uk-UA"/>
        </w:rPr>
        <w:t xml:space="preserve"> та деструктив</w:t>
      </w:r>
      <w:r w:rsidR="00F15423">
        <w:rPr>
          <w:sz w:val="28"/>
          <w:szCs w:val="28"/>
          <w:lang w:val="uk-UA"/>
        </w:rPr>
        <w:t xml:space="preserve">них </w:t>
      </w:r>
      <w:r w:rsidR="0000007B">
        <w:rPr>
          <w:sz w:val="28"/>
          <w:szCs w:val="28"/>
          <w:lang w:val="uk-UA"/>
        </w:rPr>
        <w:t>ресурсів</w:t>
      </w:r>
      <w:r w:rsidR="00F15423">
        <w:rPr>
          <w:sz w:val="28"/>
          <w:szCs w:val="28"/>
          <w:lang w:val="uk-UA"/>
        </w:rPr>
        <w:t xml:space="preserve"> розвитку особистості, шляхів збереження психічного здоров’я, здорового способу життя, розвитку творчого потенціалу особистості в умовах очного, дистанційного та змішаного навчання. </w:t>
      </w:r>
    </w:p>
    <w:p w:rsidR="00F15423" w:rsidRDefault="00F15423" w:rsidP="00F15423">
      <w:pPr>
        <w:pStyle w:val="Style18"/>
        <w:widowControl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конструктивні та деструктивні </w:t>
      </w:r>
      <w:r w:rsidRPr="00F43186">
        <w:rPr>
          <w:sz w:val="28"/>
          <w:szCs w:val="28"/>
          <w:lang w:val="uk-UA"/>
        </w:rPr>
        <w:t>вектори підштовхують нас на різні вчинки, впливають</w:t>
      </w:r>
      <w:r>
        <w:rPr>
          <w:sz w:val="28"/>
          <w:szCs w:val="28"/>
          <w:lang w:val="uk-UA"/>
        </w:rPr>
        <w:t xml:space="preserve"> на </w:t>
      </w:r>
      <w:r w:rsidRPr="00F43186">
        <w:rPr>
          <w:sz w:val="28"/>
          <w:szCs w:val="28"/>
          <w:lang w:val="uk-UA"/>
        </w:rPr>
        <w:t>наше психічне здоров</w:t>
      </w:r>
      <w:r>
        <w:rPr>
          <w:sz w:val="28"/>
          <w:szCs w:val="28"/>
          <w:lang w:val="uk-UA"/>
        </w:rPr>
        <w:t>’я,</w:t>
      </w:r>
      <w:r w:rsidRPr="00F43186">
        <w:rPr>
          <w:sz w:val="28"/>
          <w:szCs w:val="28"/>
          <w:lang w:val="uk-UA"/>
        </w:rPr>
        <w:t xml:space="preserve"> поведінку, тому мають бути </w:t>
      </w:r>
      <w:r w:rsidRPr="00F43186">
        <w:rPr>
          <w:sz w:val="28"/>
          <w:szCs w:val="28"/>
          <w:lang w:val="uk-UA"/>
        </w:rPr>
        <w:lastRenderedPageBreak/>
        <w:t>об’єктом психолого-педагогічних досліджень, центром уваги практичних психологів, класних керівників, педагогів освітніх закладів</w:t>
      </w:r>
      <w:r w:rsidR="0000007B">
        <w:rPr>
          <w:sz w:val="28"/>
          <w:szCs w:val="28"/>
          <w:lang w:val="uk-UA"/>
        </w:rPr>
        <w:t>,</w:t>
      </w:r>
      <w:r w:rsidR="0000007B" w:rsidRPr="0000007B">
        <w:rPr>
          <w:sz w:val="28"/>
          <w:szCs w:val="28"/>
          <w:lang w:val="uk-UA"/>
        </w:rPr>
        <w:t xml:space="preserve"> </w:t>
      </w:r>
      <w:r w:rsidR="0000007B">
        <w:rPr>
          <w:sz w:val="28"/>
          <w:szCs w:val="28"/>
          <w:lang w:val="uk-UA"/>
        </w:rPr>
        <w:t>батьків</w:t>
      </w:r>
      <w:r w:rsidRPr="00F43186">
        <w:rPr>
          <w:sz w:val="28"/>
          <w:szCs w:val="28"/>
          <w:lang w:val="uk-UA"/>
        </w:rPr>
        <w:t>.</w:t>
      </w:r>
    </w:p>
    <w:p w:rsidR="00417687" w:rsidRDefault="00417687" w:rsidP="00CA0E4D">
      <w:pPr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/>
        </w:rPr>
      </w:pPr>
    </w:p>
    <w:p w:rsidR="00417687" w:rsidRDefault="00417687" w:rsidP="00CA0E4D">
      <w:pPr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/>
        </w:rPr>
      </w:pPr>
    </w:p>
    <w:p w:rsidR="004B5DF8" w:rsidRDefault="00CA0E4D" w:rsidP="00CA0E4D">
      <w:pPr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/>
        </w:rPr>
      </w:pPr>
      <w:r w:rsidRPr="00CA0E4D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/>
        </w:rPr>
        <w:t>Література</w:t>
      </w:r>
    </w:p>
    <w:p w:rsidR="003A6207" w:rsidRPr="00FC1D64" w:rsidRDefault="003A6207" w:rsidP="003A6207">
      <w:pPr>
        <w:pStyle w:val="a8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/>
        </w:rPr>
      </w:pPr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Яланська С.П. </w:t>
      </w:r>
      <w:proofErr w:type="spellStart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Психологія</w:t>
      </w:r>
      <w:proofErr w:type="spellEnd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протистояння</w:t>
      </w:r>
      <w:proofErr w:type="spellEnd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конструктивного та </w:t>
      </w:r>
      <w:proofErr w:type="gramStart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>деструктивного :</w:t>
      </w:r>
      <w:proofErr w:type="gramEnd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монографія</w:t>
      </w:r>
      <w:proofErr w:type="spellEnd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С.П. Яланська, В.О. </w:t>
      </w:r>
      <w:proofErr w:type="spellStart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>Моляко</w:t>
      </w:r>
      <w:proofErr w:type="spellEnd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proofErr w:type="gramStart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>Полтава :</w:t>
      </w:r>
      <w:proofErr w:type="gramEnd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>Сімон</w:t>
      </w:r>
      <w:proofErr w:type="spellEnd"/>
      <w:r w:rsidRPr="003A6207">
        <w:rPr>
          <w:rFonts w:ascii="Times New Roman" w:hAnsi="Times New Roman" w:cs="Times New Roman"/>
          <w:sz w:val="28"/>
          <w:szCs w:val="28"/>
          <w:shd w:val="clear" w:color="auto" w:fill="FFFFFF"/>
        </w:rPr>
        <w:t>, 2018. – 111 с.</w:t>
      </w:r>
      <w:r w:rsidR="00FC1D64" w:rsidRPr="00FC1D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C1D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Режим доступу: </w:t>
      </w:r>
      <w:hyperlink r:id="rId7" w:history="1">
        <w:r w:rsidR="00FC1D64" w:rsidRPr="00FC1D6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2F4"/>
          </w:rPr>
          <w:t>http://reposit.nupp.edu.ua/handle/PoltNTU/6785</w:t>
        </w:r>
      </w:hyperlink>
    </w:p>
    <w:p w:rsidR="00FC1D64" w:rsidRPr="00FC1D64" w:rsidRDefault="00FC1D64" w:rsidP="003A6207">
      <w:pPr>
        <w:pStyle w:val="a8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/>
        </w:rPr>
      </w:pPr>
      <w:r w:rsidRPr="00FC1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Tolerance, Volunteerism and </w:t>
      </w:r>
      <w:proofErr w:type="gramStart"/>
      <w:r w:rsidRPr="00FC1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Leadership :</w:t>
      </w:r>
      <w:proofErr w:type="gramEnd"/>
      <w:r w:rsidRPr="00FC1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textbook / I.I. </w:t>
      </w:r>
      <w:proofErr w:type="spellStart"/>
      <w:r w:rsidRPr="00FC1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Kapustian</w:t>
      </w:r>
      <w:proofErr w:type="spellEnd"/>
      <w:r w:rsidRPr="00FC1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S.P. </w:t>
      </w:r>
      <w:proofErr w:type="spellStart"/>
      <w:r w:rsidRPr="00FC1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Yalanska</w:t>
      </w:r>
      <w:proofErr w:type="spellEnd"/>
      <w:r w:rsidRPr="00FC1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T.I. </w:t>
      </w:r>
      <w:proofErr w:type="spellStart"/>
      <w:r w:rsidRPr="00FC1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Nikolashina</w:t>
      </w:r>
      <w:proofErr w:type="spellEnd"/>
      <w:r w:rsidRPr="00FC1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[et.al.]. – </w:t>
      </w:r>
      <w:proofErr w:type="gramStart"/>
      <w:r w:rsidRPr="00FC1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Poltava :</w:t>
      </w:r>
      <w:proofErr w:type="gramEnd"/>
      <w:r w:rsidRPr="00FC1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Simon, 2016. – 50 p.</w:t>
      </w:r>
      <w:r w:rsidR="001D0DD2" w:rsidRPr="001D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Режим доступу: </w:t>
      </w:r>
      <w:hyperlink r:id="rId8" w:history="1"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://</w:t>
        </w:r>
        <w:proofErr w:type="spellStart"/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reposit</w:t>
        </w:r>
        <w:proofErr w:type="spellEnd"/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pntu</w:t>
        </w:r>
        <w:proofErr w:type="spellEnd"/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edu</w:t>
        </w:r>
        <w:proofErr w:type="spellEnd"/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ua</w:t>
        </w:r>
        <w:proofErr w:type="spellEnd"/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handle</w:t>
        </w:r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proofErr w:type="spellStart"/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PoltNTU</w:t>
        </w:r>
        <w:proofErr w:type="spellEnd"/>
        <w:r w:rsidR="001D0DD2" w:rsidRPr="001D0DD2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/6783</w:t>
        </w:r>
      </w:hyperlink>
      <w:r w:rsidR="001D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6207" w:rsidRPr="00FC1D64" w:rsidRDefault="003A6207" w:rsidP="003A620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A6207" w:rsidRPr="00FC1D64" w:rsidSect="00CE1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AEC" w:rsidRDefault="007D3AEC" w:rsidP="006450D9">
      <w:pPr>
        <w:spacing w:after="0" w:line="240" w:lineRule="auto"/>
      </w:pPr>
      <w:r>
        <w:separator/>
      </w:r>
    </w:p>
  </w:endnote>
  <w:endnote w:type="continuationSeparator" w:id="0">
    <w:p w:rsidR="007D3AEC" w:rsidRDefault="007D3AEC" w:rsidP="0064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AEC" w:rsidRDefault="007D3AEC" w:rsidP="006450D9">
      <w:pPr>
        <w:spacing w:after="0" w:line="240" w:lineRule="auto"/>
      </w:pPr>
      <w:r>
        <w:separator/>
      </w:r>
    </w:p>
  </w:footnote>
  <w:footnote w:type="continuationSeparator" w:id="0">
    <w:p w:rsidR="007D3AEC" w:rsidRDefault="007D3AEC" w:rsidP="00645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30EF3"/>
    <w:multiLevelType w:val="hybridMultilevel"/>
    <w:tmpl w:val="724E8506"/>
    <w:lvl w:ilvl="0" w:tplc="AD6201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27E04"/>
    <w:multiLevelType w:val="hybridMultilevel"/>
    <w:tmpl w:val="0DFA8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AC"/>
    <w:rsid w:val="0000007B"/>
    <w:rsid w:val="001B24BF"/>
    <w:rsid w:val="001D0DD2"/>
    <w:rsid w:val="001E6729"/>
    <w:rsid w:val="001F1F1D"/>
    <w:rsid w:val="001F3A1F"/>
    <w:rsid w:val="00262AAD"/>
    <w:rsid w:val="00271F6C"/>
    <w:rsid w:val="0028783B"/>
    <w:rsid w:val="002A3351"/>
    <w:rsid w:val="002E1CDC"/>
    <w:rsid w:val="002F47CD"/>
    <w:rsid w:val="0036230E"/>
    <w:rsid w:val="00394FE4"/>
    <w:rsid w:val="003A6207"/>
    <w:rsid w:val="00417687"/>
    <w:rsid w:val="00442ED1"/>
    <w:rsid w:val="00465A80"/>
    <w:rsid w:val="004B5DF8"/>
    <w:rsid w:val="004C0BD9"/>
    <w:rsid w:val="004C58A0"/>
    <w:rsid w:val="004F2B33"/>
    <w:rsid w:val="005031A0"/>
    <w:rsid w:val="00557A50"/>
    <w:rsid w:val="005956AC"/>
    <w:rsid w:val="0059789A"/>
    <w:rsid w:val="006010DC"/>
    <w:rsid w:val="006017B7"/>
    <w:rsid w:val="006450D9"/>
    <w:rsid w:val="0070704C"/>
    <w:rsid w:val="00763232"/>
    <w:rsid w:val="00793F08"/>
    <w:rsid w:val="007A6F0F"/>
    <w:rsid w:val="007D3AEC"/>
    <w:rsid w:val="009F70B0"/>
    <w:rsid w:val="00A00871"/>
    <w:rsid w:val="00AD2160"/>
    <w:rsid w:val="00B57118"/>
    <w:rsid w:val="00C167F0"/>
    <w:rsid w:val="00C21451"/>
    <w:rsid w:val="00CA0E4D"/>
    <w:rsid w:val="00CE1978"/>
    <w:rsid w:val="00D1650D"/>
    <w:rsid w:val="00DE3577"/>
    <w:rsid w:val="00E165C8"/>
    <w:rsid w:val="00F15423"/>
    <w:rsid w:val="00F37313"/>
    <w:rsid w:val="00F43186"/>
    <w:rsid w:val="00F74A0E"/>
    <w:rsid w:val="00F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F33B"/>
  <w15:chartTrackingRefBased/>
  <w15:docId w15:val="{2327C510-6003-4395-9117-16A4E837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0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0D9"/>
  </w:style>
  <w:style w:type="paragraph" w:styleId="a5">
    <w:name w:val="footer"/>
    <w:basedOn w:val="a"/>
    <w:link w:val="a6"/>
    <w:uiPriority w:val="99"/>
    <w:unhideWhenUsed/>
    <w:rsid w:val="006450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0D9"/>
  </w:style>
  <w:style w:type="character" w:styleId="a7">
    <w:name w:val="Hyperlink"/>
    <w:basedOn w:val="a0"/>
    <w:uiPriority w:val="99"/>
    <w:unhideWhenUsed/>
    <w:rsid w:val="00B5711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A62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14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18">
    <w:name w:val="Style18"/>
    <w:uiPriority w:val="99"/>
    <w:rsid w:val="002F47CD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.pntu.edu.ua/handle/PoltNTU/6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posit.nupp.edu.ua/handle/PoltNTU/6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2253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4</cp:revision>
  <dcterms:created xsi:type="dcterms:W3CDTF">2020-12-12T11:48:00Z</dcterms:created>
  <dcterms:modified xsi:type="dcterms:W3CDTF">2020-12-12T11:51:00Z</dcterms:modified>
</cp:coreProperties>
</file>