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44" w:rsidRPr="008833F8" w:rsidRDefault="008833F8" w:rsidP="0025160C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b/>
          <w:sz w:val="28"/>
          <w:szCs w:val="28"/>
          <w:lang w:val="uk-UA"/>
        </w:rPr>
        <w:t>УДК</w:t>
      </w:r>
      <w:r w:rsidR="00915F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37.015.3</w:t>
      </w:r>
    </w:p>
    <w:p w:rsidR="008833F8" w:rsidRPr="008833F8" w:rsidRDefault="008833F8" w:rsidP="0025160C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b/>
          <w:sz w:val="28"/>
          <w:szCs w:val="28"/>
          <w:lang w:val="uk-UA"/>
        </w:rPr>
        <w:t>Л.</w:t>
      </w:r>
      <w:r w:rsidR="00915F49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8833F8">
        <w:rPr>
          <w:rFonts w:ascii="Times New Roman" w:hAnsi="Times New Roman" w:cs="Times New Roman"/>
          <w:b/>
          <w:sz w:val="28"/>
          <w:szCs w:val="28"/>
          <w:lang w:val="uk-UA"/>
        </w:rPr>
        <w:t>Б. Волошко</w:t>
      </w:r>
    </w:p>
    <w:p w:rsidR="008833F8" w:rsidRPr="008833F8" w:rsidRDefault="008833F8" w:rsidP="0025160C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к. </w:t>
      </w:r>
      <w:proofErr w:type="spellStart"/>
      <w:r w:rsidRPr="008833F8">
        <w:rPr>
          <w:rFonts w:ascii="Times New Roman" w:hAnsi="Times New Roman" w:cs="Times New Roman"/>
          <w:sz w:val="28"/>
          <w:szCs w:val="28"/>
          <w:lang w:val="uk-UA"/>
        </w:rPr>
        <w:t>пед.н</w:t>
      </w:r>
      <w:proofErr w:type="spellEnd"/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., доцент, доцент кафедри </w:t>
      </w:r>
    </w:p>
    <w:p w:rsidR="008833F8" w:rsidRPr="008833F8" w:rsidRDefault="008833F8" w:rsidP="0025160C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>фізичного виховання, спорту та здоров’я людини,</w:t>
      </w:r>
    </w:p>
    <w:p w:rsidR="008833F8" w:rsidRPr="008833F8" w:rsidRDefault="008833F8" w:rsidP="0025160C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Полтавський національний технічний </w:t>
      </w:r>
    </w:p>
    <w:p w:rsidR="008833F8" w:rsidRPr="008833F8" w:rsidRDefault="008833F8" w:rsidP="0025160C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>університет імені Юрія Кондратюка</w:t>
      </w:r>
    </w:p>
    <w:p w:rsidR="008833F8" w:rsidRPr="008833F8" w:rsidRDefault="008833F8" w:rsidP="0025160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КОМПЕТЕНТНІСНИЙ ПІДХІД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ЯК МЕТОДОЛОГІЧНА ОСНОВА СУЧАСНОЇ ПРОФЕСІЙНОЇ ОСВІТИ</w:t>
      </w:r>
    </w:p>
    <w:p w:rsidR="008833F8" w:rsidRPr="008833F8" w:rsidRDefault="008833F8" w:rsidP="0025160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3F8" w:rsidRPr="008833F8" w:rsidRDefault="008833F8" w:rsidP="0025160C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Інтеграційні процеси в світовій економіці та тенденції глобалізації свідчать про те, що </w:t>
      </w:r>
      <w:r w:rsidR="0025160C">
        <w:rPr>
          <w:sz w:val="28"/>
          <w:szCs w:val="28"/>
          <w:lang w:val="uk-UA"/>
        </w:rPr>
        <w:t>майбутні фахівці</w:t>
      </w:r>
      <w:r>
        <w:rPr>
          <w:sz w:val="28"/>
          <w:szCs w:val="28"/>
          <w:lang w:val="uk-UA"/>
        </w:rPr>
        <w:t xml:space="preserve"> зможуть конкурувати на міжнародному ринку праці </w:t>
      </w:r>
      <w:r w:rsidR="0025160C">
        <w:rPr>
          <w:sz w:val="28"/>
          <w:szCs w:val="28"/>
          <w:lang w:val="uk-UA"/>
        </w:rPr>
        <w:t>за умови відповідності системи професійної освіти України вимогам світового співтовариства.</w:t>
      </w:r>
      <w:r w:rsidRPr="008833F8">
        <w:rPr>
          <w:sz w:val="28"/>
          <w:szCs w:val="28"/>
          <w:lang w:val="uk-UA"/>
        </w:rPr>
        <w:t xml:space="preserve"> У цьому зв’язку актуалізується проблема дослідження компетентнісного підходу в системі вищої освіти, оскільки стрижньовим показником рівня кваліфікації сучасного фахівця має бути його професійна компетентність.</w:t>
      </w:r>
    </w:p>
    <w:p w:rsidR="008833F8" w:rsidRPr="008833F8" w:rsidRDefault="00915F49" w:rsidP="002516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івень компетентності спеціалістів розглядається як найважливіша конкурентна перевага одних держав над іншими. Цей </w:t>
      </w:r>
      <w:r>
        <w:rPr>
          <w:rFonts w:ascii="Times New Roman" w:hAnsi="Times New Roman" w:cs="Times New Roman"/>
          <w:sz w:val="28"/>
          <w:szCs w:val="28"/>
          <w:lang w:val="uk-UA"/>
        </w:rPr>
        <w:t>факт відображається у політиці</w:t>
      </w:r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всіх високо розвинутих країн світу у форматі цільових національних програм (норвезька програма «Реформа компетентності», французька програма з розвитку інформаційної компетентності </w:t>
      </w:r>
      <w:r w:rsidR="008833F8" w:rsidRPr="008833F8">
        <w:rPr>
          <w:rFonts w:ascii="Times New Roman" w:hAnsi="Times New Roman" w:cs="Times New Roman"/>
          <w:sz w:val="28"/>
          <w:szCs w:val="28"/>
          <w:lang w:val="en-US"/>
        </w:rPr>
        <w:t>PAGSI</w:t>
      </w:r>
      <w:r w:rsidR="008833F8" w:rsidRPr="00915F49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8833F8" w:rsidRPr="008833F8">
        <w:rPr>
          <w:rFonts w:ascii="Times New Roman" w:hAnsi="Times New Roman" w:cs="Times New Roman"/>
          <w:sz w:val="28"/>
          <w:szCs w:val="28"/>
        </w:rPr>
        <w:t>Компетентнісний</w:t>
      </w:r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ідхід реалізований у багатьох країнах світу на рівні національних освітніх стандартів і є пріоритетом гарантованої якості освіти </w:t>
      </w:r>
      <w:r w:rsidR="008833F8" w:rsidRPr="008833F8">
        <w:rPr>
          <w:rFonts w:ascii="Times New Roman" w:hAnsi="Times New Roman" w:cs="Times New Roman"/>
          <w:sz w:val="28"/>
          <w:szCs w:val="28"/>
        </w:rPr>
        <w:t>[1]</w:t>
      </w:r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33F8" w:rsidRPr="008833F8" w:rsidRDefault="008833F8" w:rsidP="002516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Поняття компетентність перетерпіло цікаву еволюцію. Так, у великій радянській енциклопедії (1973) компетентність – похідне від слова </w:t>
      </w:r>
      <w:r w:rsidRPr="008833F8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proofErr w:type="spellStart"/>
      <w:r w:rsidRPr="008833F8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competo</w:t>
      </w:r>
      <w:proofErr w:type="spellEnd"/>
      <w:r w:rsidRPr="008833F8">
        <w:rPr>
          <w:rFonts w:ascii="Times New Roman" w:hAnsi="Times New Roman" w:cs="Times New Roman"/>
          <w:color w:val="000000"/>
          <w:sz w:val="28"/>
          <w:szCs w:val="28"/>
          <w:lang w:val="uk-UA"/>
        </w:rPr>
        <w:t>» – спільно досягаю. Радянський енциклопедичний словник (1983) пояснив, що термін компетентність – означає досягаю (колективізм почав уступати індивідуалізму).</w:t>
      </w:r>
      <w:r w:rsidR="002516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У лексику професійної освіти нові терміни – компетентність, компетенції, кваліфікації – уперше вперше введені всередині 80-х років ученими Європейського Союзу. На початку 90-х років Міжнародною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організацією праці запроваджується близьке за змістом до поняття </w:t>
      </w:r>
      <w:proofErr w:type="spellStart"/>
      <w:r w:rsidRPr="008833F8">
        <w:rPr>
          <w:rFonts w:ascii="Times New Roman" w:hAnsi="Times New Roman" w:cs="Times New Roman"/>
          <w:sz w:val="28"/>
          <w:szCs w:val="28"/>
          <w:lang w:val="uk-UA"/>
        </w:rPr>
        <w:t>„професійна</w:t>
      </w:r>
      <w:proofErr w:type="spellEnd"/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33F8">
        <w:rPr>
          <w:rFonts w:ascii="Times New Roman" w:hAnsi="Times New Roman" w:cs="Times New Roman"/>
          <w:sz w:val="28"/>
          <w:szCs w:val="28"/>
          <w:lang w:val="uk-UA"/>
        </w:rPr>
        <w:t>компетентність”</w:t>
      </w:r>
      <w:proofErr w:type="spellEnd"/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є поняття </w:t>
      </w:r>
      <w:proofErr w:type="spellStart"/>
      <w:r w:rsidRPr="008833F8">
        <w:rPr>
          <w:rFonts w:ascii="Times New Roman" w:hAnsi="Times New Roman" w:cs="Times New Roman"/>
          <w:sz w:val="28"/>
          <w:szCs w:val="28"/>
          <w:lang w:val="uk-UA"/>
        </w:rPr>
        <w:t>„компетенції”</w:t>
      </w:r>
      <w:proofErr w:type="spellEnd"/>
      <w:r w:rsidRPr="008833F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Цікавим є той факт, що протягом 40-річної еволюції терміну компетентність  жодного разу з ним не зв’язували поняття інтелект, можливо це пов’язано з тим, що суворого наукового визначення та методів оцінки інтелекту до сих пір не існує, хоча в західних країнах оцінка рівня компетентності включає тестові </w:t>
      </w:r>
      <w:r w:rsidRPr="008833F8">
        <w:rPr>
          <w:rFonts w:ascii="Times New Roman" w:hAnsi="Times New Roman" w:cs="Times New Roman"/>
          <w:sz w:val="28"/>
          <w:szCs w:val="28"/>
        </w:rPr>
        <w:t>IQ</w:t>
      </w:r>
      <w:proofErr w:type="spellStart"/>
      <w:r w:rsidRPr="008833F8">
        <w:rPr>
          <w:rFonts w:ascii="Times New Roman" w:hAnsi="Times New Roman" w:cs="Times New Roman"/>
          <w:sz w:val="28"/>
          <w:szCs w:val="28"/>
          <w:lang w:val="uk-UA"/>
        </w:rPr>
        <w:t>-методики</w:t>
      </w:r>
      <w:proofErr w:type="spellEnd"/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33F8">
        <w:rPr>
          <w:rFonts w:ascii="Times New Roman" w:hAnsi="Times New Roman" w:cs="Times New Roman"/>
          <w:sz w:val="28"/>
          <w:szCs w:val="28"/>
          <w:lang w:val="uk-UA"/>
        </w:rPr>
        <w:t>Айзенка</w:t>
      </w:r>
      <w:proofErr w:type="spellEnd"/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833F8" w:rsidRPr="008833F8" w:rsidRDefault="008833F8" w:rsidP="002516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>Компетенції у більшості випадків базуються на індикаторах поведінки. Європейський підхід зосереджений на визначені стандарту-мінімуму, який повинен досягти фахівець, а американська модель визначає, що повинен зробити фахівець, щоб досягти найвищої ефективності. У Європейському підході взятий орієнтир на  впровадження с</w:t>
      </w:r>
      <w:r w:rsidR="0025160C">
        <w:rPr>
          <w:rFonts w:ascii="Times New Roman" w:hAnsi="Times New Roman" w:cs="Times New Roman"/>
          <w:sz w:val="28"/>
          <w:szCs w:val="28"/>
          <w:lang w:val="uk-UA"/>
        </w:rPr>
        <w:t>истем менеджменту якості освіти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відповідають вимогам міжнародних стандартів </w:t>
      </w:r>
      <w:r w:rsidRPr="008833F8"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. У деяких країнах (Франція) особливе значення приділяється когнітивним </w:t>
      </w:r>
      <w:proofErr w:type="spellStart"/>
      <w:r w:rsidRPr="008833F8">
        <w:rPr>
          <w:rFonts w:ascii="Times New Roman" w:hAnsi="Times New Roman" w:cs="Times New Roman"/>
          <w:sz w:val="28"/>
          <w:szCs w:val="28"/>
          <w:lang w:val="uk-UA"/>
        </w:rPr>
        <w:t>компетенціям</w:t>
      </w:r>
      <w:proofErr w:type="spellEnd"/>
      <w:r w:rsidRPr="008833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33F8" w:rsidRPr="008833F8" w:rsidRDefault="008833F8" w:rsidP="002516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Компетентним є фахівець, який володіє великим обсягом знань, умінь і навичок у певній сфері, що дозволяють йому виконувати не лише стандартні професійні функції, а й реалізувати творчі та інноваційні можливості. До обов’язкових критеріїв професійної компетентності 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науковці відносять знання, уміння та навички, що забезпечують виконання професійної діяльності на сучасному рівні досягнень науки та техніки, розвинуте професійне мислення. </w:t>
      </w:r>
    </w:p>
    <w:p w:rsidR="008833F8" w:rsidRPr="008833F8" w:rsidRDefault="00915F49" w:rsidP="002516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, поняття </w:t>
      </w:r>
      <w:proofErr w:type="spellStart"/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>„компетентність”</w:t>
      </w:r>
      <w:proofErr w:type="spellEnd"/>
      <w:r w:rsidR="008833F8"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має складний ємкісний зміст, оскільки охоплює різноманітні сторони особистості та інтегрує її різні характеристики, що можуть бути предметом вивчення різних наук. На користь такого погляду свідчать численні наукові праці, в яких розглядаються різні види компетентності людини: громадянська, життєва, конфліктологічна, емоційна, етична, соціальна, інформаційна, правова, професійна, управлінська.</w:t>
      </w:r>
    </w:p>
    <w:p w:rsidR="008833F8" w:rsidRPr="008833F8" w:rsidRDefault="008833F8" w:rsidP="002516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>Аналіз літератури показує, що існують різні підходи до класифікації видів професійної компетентності. Зокрема, розрізняють наступні види компет</w:t>
      </w:r>
      <w:r w:rsidR="0025160C">
        <w:rPr>
          <w:rFonts w:ascii="Times New Roman" w:hAnsi="Times New Roman" w:cs="Times New Roman"/>
          <w:sz w:val="28"/>
          <w:szCs w:val="28"/>
          <w:lang w:val="uk-UA"/>
        </w:rPr>
        <w:t xml:space="preserve">ентності: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спеціальну – професійні знання, уміння, навич</w:t>
      </w:r>
      <w:r w:rsidR="0025160C">
        <w:rPr>
          <w:rFonts w:ascii="Times New Roman" w:hAnsi="Times New Roman" w:cs="Times New Roman"/>
          <w:sz w:val="28"/>
          <w:szCs w:val="28"/>
          <w:lang w:val="uk-UA"/>
        </w:rPr>
        <w:t xml:space="preserve">ки;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соціальну – володін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>ня навичками спільної (групової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) професійної діяльності,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співробітництва, прийнятими у професії прийомами професійного спілкування, а також соціальну відповідальність з</w:t>
      </w:r>
      <w:r w:rsidR="0025160C"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результати професійних дій;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особистісну – володіння прийомами особистісного саморозвитку, засобами протистоя</w:t>
      </w:r>
      <w:r w:rsidR="0025160C">
        <w:rPr>
          <w:rFonts w:ascii="Times New Roman" w:hAnsi="Times New Roman" w:cs="Times New Roman"/>
          <w:sz w:val="28"/>
          <w:szCs w:val="28"/>
          <w:lang w:val="uk-UA"/>
        </w:rPr>
        <w:t xml:space="preserve">ння професійним деформаціям;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індивідуальну – володіння прийомами самореалізації в рамках професії, готовність до професійного росту, протидія професійному старінню [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8833F8" w:rsidRDefault="008833F8" w:rsidP="002516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3F8">
        <w:rPr>
          <w:rFonts w:ascii="Times New Roman" w:hAnsi="Times New Roman" w:cs="Times New Roman"/>
          <w:sz w:val="28"/>
          <w:szCs w:val="28"/>
          <w:lang w:val="uk-UA"/>
        </w:rPr>
        <w:t>Під професійною компетентністю майбутніх фахівців ми розуміємо відносно сталу структуру професійної самосвідомості та інтегральну характеристику діяльності фахівця, що включає три компоненти: когнітивний – володіння спеціальними знаннями; операційний – здатність до їх реалізації на практиці через сформовану систему спеціальних умінь і навичок; аксіологічний – інтеріоризація системи професійних цінностей як норма професійної діяльності, що була засвоєна в ході професійно-практичної підготовки студентів.</w:t>
      </w:r>
      <w:r w:rsidR="0025160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рофесійна компетентність майбутнього фахівця може бути представлена у вигляді функції: ПК = f (ПК</w:t>
      </w:r>
      <w:r w:rsidRPr="008833F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К,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ПК</w:t>
      </w:r>
      <w:r w:rsidRPr="008833F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О,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ПК</w:t>
      </w:r>
      <w:r w:rsidRPr="008833F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), де f – знак функції, ПК – професійна компетентність; ПК</w:t>
      </w:r>
      <w:r w:rsidRPr="008833F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К,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ПК</w:t>
      </w:r>
      <w:r w:rsidRPr="008833F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О, 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>ПК</w:t>
      </w:r>
      <w:r w:rsidRPr="008833F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А</w:t>
      </w:r>
      <w:r w:rsidRPr="008833F8">
        <w:rPr>
          <w:rFonts w:ascii="Times New Roman" w:hAnsi="Times New Roman" w:cs="Times New Roman"/>
          <w:sz w:val="28"/>
          <w:szCs w:val="28"/>
          <w:lang w:val="uk-UA"/>
        </w:rPr>
        <w:t xml:space="preserve"> – окремі параметри цієї інтегральної характеристики (відповідно когнітивний, операційний, аксіологічний компоненти) [1].</w:t>
      </w:r>
    </w:p>
    <w:p w:rsidR="0025160C" w:rsidRPr="008833F8" w:rsidRDefault="0025160C" w:rsidP="002516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підхід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методологічна основа сучасної професійної освіти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 пріоритетну орієнтацію на 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 xml:space="preserve">головні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цілі освіти: якість,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самоактуалізація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самореалізація, розвит</w:t>
      </w:r>
      <w:r w:rsidR="00915F49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індивідуальності майбутнього фахівця.</w:t>
      </w:r>
    </w:p>
    <w:p w:rsidR="008833F8" w:rsidRPr="0025160C" w:rsidRDefault="008833F8" w:rsidP="0025160C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160C">
        <w:rPr>
          <w:rFonts w:ascii="Times New Roman" w:hAnsi="Times New Roman" w:cs="Times New Roman"/>
          <w:sz w:val="28"/>
          <w:szCs w:val="28"/>
          <w:lang w:val="uk-UA"/>
        </w:rPr>
        <w:t>Список використан</w:t>
      </w:r>
      <w:r w:rsidR="0025160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2516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60C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</w:p>
    <w:p w:rsidR="0025160C" w:rsidRPr="0025160C" w:rsidRDefault="008833F8" w:rsidP="0025160C">
      <w:pPr>
        <w:numPr>
          <w:ilvl w:val="0"/>
          <w:numId w:val="1"/>
        </w:numPr>
        <w:tabs>
          <w:tab w:val="clear" w:pos="360"/>
          <w:tab w:val="num" w:pos="-180"/>
          <w:tab w:val="num" w:pos="0"/>
          <w:tab w:val="left" w:pos="54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60C">
        <w:rPr>
          <w:rFonts w:ascii="Times New Roman" w:hAnsi="Times New Roman" w:cs="Times New Roman"/>
          <w:bCs/>
          <w:sz w:val="28"/>
          <w:szCs w:val="28"/>
        </w:rPr>
        <w:t>Волкова Н. Н. Профессиональная компетентность специалистов</w:t>
      </w:r>
      <w:proofErr w:type="gramStart"/>
      <w:r w:rsidRPr="0025160C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25160C">
        <w:rPr>
          <w:rFonts w:ascii="Times New Roman" w:hAnsi="Times New Roman" w:cs="Times New Roman"/>
          <w:bCs/>
          <w:sz w:val="28"/>
          <w:szCs w:val="28"/>
        </w:rPr>
        <w:t xml:space="preserve"> критерии оценки / Н. Н. Вол</w:t>
      </w:r>
      <w:r w:rsidR="00915F49">
        <w:rPr>
          <w:rFonts w:ascii="Times New Roman" w:hAnsi="Times New Roman" w:cs="Times New Roman"/>
          <w:bCs/>
          <w:sz w:val="28"/>
          <w:szCs w:val="28"/>
        </w:rPr>
        <w:t>кова, Л. Б. Волошко. – Москва-</w:t>
      </w:r>
      <w:r w:rsidRPr="0025160C">
        <w:rPr>
          <w:rFonts w:ascii="Times New Roman" w:hAnsi="Times New Roman" w:cs="Times New Roman"/>
          <w:bCs/>
          <w:sz w:val="28"/>
          <w:szCs w:val="28"/>
        </w:rPr>
        <w:t>Полтава: Техсервис, 2007. – 318 с.</w:t>
      </w:r>
      <w:r w:rsidRPr="002516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8833F8" w:rsidRPr="00915F49" w:rsidRDefault="008833F8" w:rsidP="00915F49">
      <w:pPr>
        <w:numPr>
          <w:ilvl w:val="0"/>
          <w:numId w:val="1"/>
        </w:numPr>
        <w:tabs>
          <w:tab w:val="clear" w:pos="360"/>
          <w:tab w:val="num" w:pos="-180"/>
          <w:tab w:val="num" w:pos="0"/>
          <w:tab w:val="left" w:pos="54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F49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915F49">
        <w:rPr>
          <w:rFonts w:ascii="Times New Roman" w:hAnsi="Times New Roman" w:cs="Times New Roman"/>
          <w:sz w:val="28"/>
          <w:szCs w:val="28"/>
        </w:rPr>
        <w:t xml:space="preserve"> Э. Ф. Модернизаци</w:t>
      </w:r>
      <w:r w:rsidR="00915F49">
        <w:rPr>
          <w:rFonts w:ascii="Times New Roman" w:hAnsi="Times New Roman" w:cs="Times New Roman"/>
          <w:sz w:val="28"/>
          <w:szCs w:val="28"/>
        </w:rPr>
        <w:t>я профессионального образования</w:t>
      </w:r>
      <w:proofErr w:type="gramStart"/>
      <w:r w:rsidR="00915F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5F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15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F49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915F49">
        <w:rPr>
          <w:rFonts w:ascii="Times New Roman" w:hAnsi="Times New Roman" w:cs="Times New Roman"/>
          <w:sz w:val="28"/>
          <w:szCs w:val="28"/>
        </w:rPr>
        <w:t xml:space="preserve"> подход </w:t>
      </w:r>
      <w:r w:rsidRPr="00915F49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915F49">
        <w:rPr>
          <w:rFonts w:ascii="Times New Roman" w:hAnsi="Times New Roman" w:cs="Times New Roman"/>
          <w:sz w:val="28"/>
          <w:szCs w:val="28"/>
        </w:rPr>
        <w:t xml:space="preserve">Э. Ф. </w:t>
      </w:r>
      <w:proofErr w:type="spellStart"/>
      <w:r w:rsidRPr="00915F49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915F49">
        <w:rPr>
          <w:rFonts w:ascii="Times New Roman" w:hAnsi="Times New Roman" w:cs="Times New Roman"/>
          <w:sz w:val="28"/>
          <w:szCs w:val="28"/>
        </w:rPr>
        <w:t xml:space="preserve"> // Образование и наука. </w:t>
      </w:r>
      <w:r w:rsidRPr="00915F49">
        <w:rPr>
          <w:rFonts w:ascii="Times New Roman" w:hAnsi="Times New Roman" w:cs="Times New Roman"/>
          <w:sz w:val="28"/>
          <w:szCs w:val="28"/>
          <w:lang w:val="uk-UA"/>
        </w:rPr>
        <w:sym w:font="Symbol" w:char="002D"/>
      </w:r>
      <w:r w:rsidRPr="00915F49">
        <w:rPr>
          <w:rFonts w:ascii="Times New Roman" w:hAnsi="Times New Roman" w:cs="Times New Roman"/>
          <w:sz w:val="28"/>
          <w:szCs w:val="28"/>
        </w:rPr>
        <w:t xml:space="preserve"> 2004. </w:t>
      </w:r>
      <w:r w:rsidRPr="00915F49">
        <w:rPr>
          <w:rFonts w:ascii="Times New Roman" w:hAnsi="Times New Roman" w:cs="Times New Roman"/>
          <w:sz w:val="28"/>
          <w:szCs w:val="28"/>
          <w:lang w:val="uk-UA"/>
        </w:rPr>
        <w:sym w:font="Symbol" w:char="002D"/>
      </w:r>
      <w:r w:rsidRPr="00915F49">
        <w:rPr>
          <w:rFonts w:ascii="Times New Roman" w:hAnsi="Times New Roman" w:cs="Times New Roman"/>
          <w:sz w:val="28"/>
          <w:szCs w:val="28"/>
        </w:rPr>
        <w:t xml:space="preserve"> № 3 (27).</w:t>
      </w:r>
      <w:r w:rsidRPr="00915F49">
        <w:rPr>
          <w:rFonts w:ascii="Times New Roman" w:hAnsi="Times New Roman" w:cs="Times New Roman"/>
          <w:sz w:val="28"/>
          <w:szCs w:val="28"/>
          <w:lang w:val="uk-UA"/>
        </w:rPr>
        <w:t xml:space="preserve"> – С. 17-23. </w:t>
      </w:r>
    </w:p>
    <w:sectPr w:rsidR="008833F8" w:rsidRPr="00915F49" w:rsidSect="008833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53C6"/>
    <w:multiLevelType w:val="hybridMultilevel"/>
    <w:tmpl w:val="3D5C602A"/>
    <w:lvl w:ilvl="0" w:tplc="A34E8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33F8"/>
    <w:rsid w:val="00004C87"/>
    <w:rsid w:val="00043944"/>
    <w:rsid w:val="0025160C"/>
    <w:rsid w:val="008833F8"/>
    <w:rsid w:val="0091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33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8833F8"/>
    <w:pPr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8833F8"/>
    <w:rPr>
      <w:rFonts w:ascii="Times New Roman" w:eastAsia="Times New Roman" w:hAnsi="Times New Roman" w:cs="Times New Roman"/>
      <w:sz w:val="28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2018-02-17T10:57:00Z</dcterms:created>
  <dcterms:modified xsi:type="dcterms:W3CDTF">2018-02-17T11:28:00Z</dcterms:modified>
</cp:coreProperties>
</file>