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024" w:rsidRPr="00D13BEC" w:rsidRDefault="00125418" w:rsidP="001B6265">
      <w:pPr>
        <w:spacing w:after="0" w:line="240" w:lineRule="auto"/>
        <w:ind w:firstLine="709"/>
        <w:jc w:val="center"/>
        <w:rPr>
          <w:rFonts w:ascii="Times New Roman" w:hAnsi="Times New Roman" w:cs="Times New Roman"/>
          <w:sz w:val="24"/>
          <w:szCs w:val="24"/>
          <w:lang w:val="uk-UA"/>
        </w:rPr>
      </w:pPr>
      <w:bookmarkStart w:id="0" w:name="_GoBack"/>
      <w:bookmarkEnd w:id="0"/>
      <w:proofErr w:type="spellStart"/>
      <w:r w:rsidRPr="00D13BEC">
        <w:rPr>
          <w:rFonts w:ascii="Times New Roman" w:hAnsi="Times New Roman" w:cs="Times New Roman"/>
          <w:sz w:val="24"/>
          <w:szCs w:val="24"/>
          <w:lang w:val="uk-UA"/>
        </w:rPr>
        <w:t>д.е.н</w:t>
      </w:r>
      <w:proofErr w:type="spellEnd"/>
      <w:r w:rsidRPr="00D13BEC">
        <w:rPr>
          <w:rFonts w:ascii="Times New Roman" w:hAnsi="Times New Roman" w:cs="Times New Roman"/>
          <w:sz w:val="24"/>
          <w:szCs w:val="24"/>
          <w:lang w:val="uk-UA"/>
        </w:rPr>
        <w:t>.</w:t>
      </w:r>
      <w:r w:rsidR="00D13BEC" w:rsidRPr="00D13BEC">
        <w:rPr>
          <w:rFonts w:ascii="Times New Roman" w:hAnsi="Times New Roman" w:cs="Times New Roman"/>
          <w:sz w:val="24"/>
          <w:szCs w:val="24"/>
          <w:lang w:val="uk-UA"/>
        </w:rPr>
        <w:t xml:space="preserve">, доц. </w:t>
      </w:r>
      <w:proofErr w:type="spellStart"/>
      <w:r w:rsidR="00700ED7" w:rsidRPr="00D13BEC">
        <w:rPr>
          <w:rFonts w:ascii="Times New Roman" w:hAnsi="Times New Roman" w:cs="Times New Roman"/>
          <w:sz w:val="24"/>
          <w:szCs w:val="24"/>
          <w:lang w:val="uk-UA"/>
        </w:rPr>
        <w:t>Онищенко</w:t>
      </w:r>
      <w:proofErr w:type="spellEnd"/>
      <w:r w:rsidR="00700ED7" w:rsidRPr="00D13BEC">
        <w:rPr>
          <w:rFonts w:ascii="Times New Roman" w:hAnsi="Times New Roman" w:cs="Times New Roman"/>
          <w:sz w:val="24"/>
          <w:szCs w:val="24"/>
          <w:lang w:val="uk-UA"/>
        </w:rPr>
        <w:t xml:space="preserve"> С.В., </w:t>
      </w:r>
      <w:proofErr w:type="spellStart"/>
      <w:r w:rsidR="00D13BEC" w:rsidRPr="00D13BEC">
        <w:rPr>
          <w:rFonts w:ascii="Times New Roman" w:hAnsi="Times New Roman" w:cs="Times New Roman"/>
          <w:sz w:val="24"/>
          <w:szCs w:val="24"/>
          <w:lang w:val="uk-UA"/>
        </w:rPr>
        <w:t>к.е.н</w:t>
      </w:r>
      <w:proofErr w:type="spellEnd"/>
      <w:r w:rsidR="00D13BEC" w:rsidRPr="00D13BEC">
        <w:rPr>
          <w:rFonts w:ascii="Times New Roman" w:hAnsi="Times New Roman" w:cs="Times New Roman"/>
          <w:sz w:val="24"/>
          <w:szCs w:val="24"/>
          <w:lang w:val="uk-UA"/>
        </w:rPr>
        <w:t xml:space="preserve">., доц. </w:t>
      </w:r>
      <w:proofErr w:type="spellStart"/>
      <w:r w:rsidR="00D13BEC" w:rsidRPr="00D13BEC">
        <w:rPr>
          <w:rFonts w:ascii="Times New Roman" w:hAnsi="Times New Roman" w:cs="Times New Roman"/>
          <w:sz w:val="24"/>
          <w:szCs w:val="24"/>
          <w:lang w:val="uk-UA"/>
        </w:rPr>
        <w:t>Скриль</w:t>
      </w:r>
      <w:proofErr w:type="spellEnd"/>
      <w:r w:rsidR="00D13BEC" w:rsidRPr="00D13BEC">
        <w:rPr>
          <w:rFonts w:ascii="Times New Roman" w:hAnsi="Times New Roman" w:cs="Times New Roman"/>
          <w:sz w:val="24"/>
          <w:szCs w:val="24"/>
          <w:lang w:val="uk-UA"/>
        </w:rPr>
        <w:t xml:space="preserve"> В.В., </w:t>
      </w:r>
      <w:proofErr w:type="spellStart"/>
      <w:r w:rsidR="00D13BEC" w:rsidRPr="00D13BEC">
        <w:rPr>
          <w:rFonts w:ascii="Times New Roman" w:hAnsi="Times New Roman" w:cs="Times New Roman"/>
          <w:sz w:val="24"/>
          <w:szCs w:val="24"/>
          <w:lang w:val="uk-UA"/>
        </w:rPr>
        <w:t>Штанько</w:t>
      </w:r>
      <w:proofErr w:type="spellEnd"/>
      <w:r w:rsidR="00D13BEC" w:rsidRPr="00D13BEC">
        <w:rPr>
          <w:rFonts w:ascii="Times New Roman" w:hAnsi="Times New Roman" w:cs="Times New Roman"/>
          <w:sz w:val="24"/>
          <w:szCs w:val="24"/>
          <w:lang w:val="uk-UA"/>
        </w:rPr>
        <w:t xml:space="preserve"> Р.</w:t>
      </w:r>
    </w:p>
    <w:p w:rsidR="00125418" w:rsidRPr="00D13BEC" w:rsidRDefault="00125418" w:rsidP="001B6265">
      <w:pPr>
        <w:spacing w:after="0" w:line="240" w:lineRule="auto"/>
        <w:ind w:firstLine="709"/>
        <w:jc w:val="center"/>
        <w:rPr>
          <w:rFonts w:ascii="Times New Roman" w:hAnsi="Times New Roman" w:cs="Times New Roman"/>
          <w:i/>
          <w:sz w:val="24"/>
          <w:szCs w:val="24"/>
          <w:lang w:val="uk-UA"/>
        </w:rPr>
      </w:pPr>
      <w:r w:rsidRPr="00D13BEC">
        <w:rPr>
          <w:rFonts w:ascii="Times New Roman" w:hAnsi="Times New Roman" w:cs="Times New Roman"/>
          <w:i/>
          <w:sz w:val="24"/>
          <w:szCs w:val="24"/>
          <w:lang w:val="uk-UA"/>
        </w:rPr>
        <w:t>Національний університет «Полтавська політехніка» імені Юрія Кондратюка (м.</w:t>
      </w:r>
      <w:r w:rsidR="00570BBD" w:rsidRPr="00D13BEC">
        <w:rPr>
          <w:rFonts w:ascii="Times New Roman" w:hAnsi="Times New Roman" w:cs="Times New Roman"/>
          <w:i/>
          <w:sz w:val="24"/>
          <w:szCs w:val="24"/>
          <w:lang w:val="uk-UA"/>
        </w:rPr>
        <w:t> </w:t>
      </w:r>
      <w:r w:rsidRPr="00D13BEC">
        <w:rPr>
          <w:rFonts w:ascii="Times New Roman" w:hAnsi="Times New Roman" w:cs="Times New Roman"/>
          <w:i/>
          <w:sz w:val="24"/>
          <w:szCs w:val="24"/>
          <w:lang w:val="uk-UA"/>
        </w:rPr>
        <w:t>Полтава, Україна)</w:t>
      </w:r>
    </w:p>
    <w:p w:rsidR="00125418" w:rsidRPr="00D13BEC" w:rsidRDefault="00125418" w:rsidP="001B6265">
      <w:pPr>
        <w:spacing w:after="0" w:line="240" w:lineRule="auto"/>
        <w:ind w:firstLine="709"/>
        <w:jc w:val="center"/>
        <w:rPr>
          <w:rFonts w:ascii="Times New Roman" w:hAnsi="Times New Roman" w:cs="Times New Roman"/>
          <w:b/>
          <w:sz w:val="24"/>
          <w:szCs w:val="24"/>
          <w:lang w:val="uk-UA"/>
        </w:rPr>
      </w:pPr>
    </w:p>
    <w:p w:rsidR="00D13BEC" w:rsidRPr="00D13BEC" w:rsidRDefault="00D13BEC" w:rsidP="00D13BEC">
      <w:pPr>
        <w:spacing w:after="0" w:line="240" w:lineRule="auto"/>
        <w:ind w:firstLine="709"/>
        <w:jc w:val="center"/>
        <w:rPr>
          <w:rFonts w:ascii="Times New Roman" w:hAnsi="Times New Roman" w:cs="Times New Roman"/>
          <w:b/>
          <w:sz w:val="24"/>
          <w:szCs w:val="24"/>
          <w:lang w:val="uk-UA"/>
        </w:rPr>
      </w:pPr>
      <w:r w:rsidRPr="00D13BEC">
        <w:rPr>
          <w:rFonts w:ascii="Times New Roman" w:hAnsi="Times New Roman" w:cs="Times New Roman"/>
          <w:b/>
          <w:sz w:val="24"/>
          <w:szCs w:val="24"/>
          <w:lang w:val="uk-UA"/>
        </w:rPr>
        <w:t>ФІНАНСОВА ІНКЛЮЗІЯ РЕГІОНУ ЯК НАПРЯМ СТРАТЕГІЇ РОЗВИТКУ ФІНАНСОВОГО СЕКТОРУ УКРАЇНИ</w:t>
      </w:r>
    </w:p>
    <w:p w:rsidR="00D13BEC" w:rsidRPr="00D13BEC" w:rsidRDefault="00D13BEC" w:rsidP="00D13BEC">
      <w:pPr>
        <w:spacing w:after="0" w:line="240" w:lineRule="auto"/>
        <w:ind w:firstLine="709"/>
        <w:jc w:val="center"/>
        <w:rPr>
          <w:rFonts w:ascii="Times New Roman" w:hAnsi="Times New Roman" w:cs="Times New Roman"/>
          <w:b/>
          <w:sz w:val="24"/>
          <w:szCs w:val="24"/>
          <w:lang w:val="uk-UA"/>
        </w:rPr>
      </w:pPr>
    </w:p>
    <w:p w:rsidR="00D13BEC" w:rsidRPr="00D13BEC" w:rsidRDefault="00D13BEC" w:rsidP="00D13BEC">
      <w:pPr>
        <w:spacing w:after="0" w:line="240" w:lineRule="auto"/>
        <w:ind w:firstLine="709"/>
        <w:jc w:val="both"/>
        <w:rPr>
          <w:rFonts w:ascii="Times New Roman" w:eastAsia="Calibri" w:hAnsi="Times New Roman" w:cs="Times New Roman"/>
          <w:color w:val="1C1E21"/>
          <w:sz w:val="24"/>
          <w:szCs w:val="28"/>
          <w:shd w:val="clear" w:color="auto" w:fill="FFFFFF"/>
          <w:lang w:val="uk-UA"/>
        </w:rPr>
      </w:pPr>
      <w:r w:rsidRPr="00D13BEC">
        <w:rPr>
          <w:rFonts w:ascii="Times New Roman" w:eastAsia="Calibri" w:hAnsi="Times New Roman" w:cs="Times New Roman"/>
          <w:color w:val="1C1E21"/>
          <w:sz w:val="24"/>
          <w:szCs w:val="28"/>
          <w:shd w:val="clear" w:color="auto" w:fill="FFFFFF"/>
          <w:lang w:val="uk-UA"/>
        </w:rPr>
        <w:t>На протязі останніх десятиліть фінансова інклюзія, поряд із фі</w:t>
      </w:r>
      <w:r w:rsidRPr="00D13BEC">
        <w:rPr>
          <w:rFonts w:ascii="Times New Roman" w:eastAsia="Calibri" w:hAnsi="Times New Roman" w:cs="Times New Roman"/>
          <w:color w:val="1C1E21"/>
          <w:sz w:val="24"/>
          <w:szCs w:val="28"/>
          <w:shd w:val="clear" w:color="auto" w:fill="FFFFFF"/>
          <w:lang w:val="uk-UA"/>
        </w:rPr>
        <w:softHyphen/>
        <w:t>нансовою стабільністю, фінансовою цілісністю і захистом прав споживачів фінансових послуг, стала однією з основних цілей як державного так і регіонального регулювання фінансового сектору в багатьох країнах світу. Залучення до активного фінансового життя широкого кола економічних суб’єктів, насамперед, фізичних осіб, сприяє збільшенню ресурсної бази фінансових установ, а відтак їх</w:t>
      </w:r>
      <w:r w:rsidRPr="00D13BEC">
        <w:rPr>
          <w:rFonts w:ascii="Times New Roman" w:eastAsia="Calibri" w:hAnsi="Times New Roman" w:cs="Times New Roman"/>
          <w:color w:val="1C1E21"/>
          <w:sz w:val="24"/>
          <w:szCs w:val="28"/>
          <w:shd w:val="clear" w:color="auto" w:fill="FFFFFF"/>
          <w:lang w:val="uk-UA"/>
        </w:rPr>
        <w:softHyphen/>
        <w:t>ньому позитивному впливові на економічний розвиток регіону та добробут населення, оптимізації структури грошової маси, посиленню прозорості фінансових потоків, що створює умови для зменшення масштабів тіньо</w:t>
      </w:r>
      <w:r w:rsidRPr="00D13BEC">
        <w:rPr>
          <w:rFonts w:ascii="Times New Roman" w:eastAsia="Calibri" w:hAnsi="Times New Roman" w:cs="Times New Roman"/>
          <w:color w:val="1C1E21"/>
          <w:sz w:val="24"/>
          <w:szCs w:val="28"/>
          <w:shd w:val="clear" w:color="auto" w:fill="FFFFFF"/>
          <w:lang w:val="uk-UA"/>
        </w:rPr>
        <w:softHyphen/>
        <w:t>вої економіки [1].</w:t>
      </w:r>
    </w:p>
    <w:p w:rsidR="00D13BEC" w:rsidRPr="00D13BEC" w:rsidRDefault="00D13BEC" w:rsidP="00D13BEC">
      <w:pPr>
        <w:spacing w:after="0" w:line="240" w:lineRule="auto"/>
        <w:ind w:firstLine="709"/>
        <w:jc w:val="both"/>
        <w:rPr>
          <w:rFonts w:ascii="Times New Roman" w:eastAsia="Calibri" w:hAnsi="Times New Roman" w:cs="Times New Roman"/>
          <w:color w:val="1C1E21"/>
          <w:sz w:val="24"/>
          <w:szCs w:val="28"/>
          <w:shd w:val="clear" w:color="auto" w:fill="FFFFFF"/>
          <w:lang w:val="uk-UA"/>
        </w:rPr>
      </w:pPr>
      <w:r w:rsidRPr="00D13BEC">
        <w:rPr>
          <w:rFonts w:ascii="Times New Roman" w:eastAsia="Calibri" w:hAnsi="Times New Roman" w:cs="Times New Roman"/>
          <w:color w:val="1C1E21"/>
          <w:sz w:val="24"/>
          <w:szCs w:val="28"/>
          <w:shd w:val="clear" w:color="auto" w:fill="FFFFFF"/>
          <w:lang w:val="uk-UA"/>
        </w:rPr>
        <w:t xml:space="preserve">Основа самої ідеї фінансової інклюзії регіону полягає в усуненні бар’єрів, що перешкоджають або унеможливлюють користування фінансовими послугами деякими категоріями населення. Відповідно до останніх досліджень, здійснених у сфері надання фінансових послуг, достовірним є факт, що значна частина населення регіону ними не користується. Особливо це стосується інноваційних методів здійснення фінансових послуг, як, наприклад, </w:t>
      </w:r>
      <w:proofErr w:type="spellStart"/>
      <w:r w:rsidRPr="00D13BEC">
        <w:rPr>
          <w:rFonts w:ascii="Times New Roman" w:eastAsia="Calibri" w:hAnsi="Times New Roman" w:cs="Times New Roman"/>
          <w:color w:val="1C1E21"/>
          <w:sz w:val="24"/>
          <w:szCs w:val="28"/>
          <w:shd w:val="clear" w:color="auto" w:fill="FFFFFF"/>
          <w:lang w:val="uk-UA"/>
        </w:rPr>
        <w:t>інтернет-банкінг</w:t>
      </w:r>
      <w:proofErr w:type="spellEnd"/>
      <w:r w:rsidRPr="00D13BEC">
        <w:rPr>
          <w:rFonts w:ascii="Times New Roman" w:eastAsia="Calibri" w:hAnsi="Times New Roman" w:cs="Times New Roman"/>
          <w:color w:val="1C1E21"/>
          <w:sz w:val="24"/>
          <w:szCs w:val="28"/>
          <w:shd w:val="clear" w:color="auto" w:fill="FFFFFF"/>
          <w:lang w:val="uk-UA"/>
        </w:rPr>
        <w:t xml:space="preserve"> або інші фінансові сервіси. Впровадження фінансової інклюзії регіону  передбачає залучення якомога більшої кількості населення регіону на ринок фінансових послуг. Мова йде про всі верстви населення регіону, про фізичних та юридичних осіб. Підвищення рівня фінансової інклюзії регіону сприяє як розквіту банківського сектора, так і сталому економічному зростанню як в державі у цілому, так і регіону [2].</w:t>
      </w:r>
    </w:p>
    <w:p w:rsidR="00D13BEC" w:rsidRPr="00D13BEC" w:rsidRDefault="00D13BEC" w:rsidP="00D13BEC">
      <w:pPr>
        <w:spacing w:after="0" w:line="240" w:lineRule="auto"/>
        <w:ind w:firstLine="709"/>
        <w:jc w:val="both"/>
        <w:rPr>
          <w:rFonts w:ascii="Times New Roman" w:eastAsia="Calibri" w:hAnsi="Times New Roman" w:cs="Times New Roman"/>
          <w:sz w:val="24"/>
          <w:szCs w:val="24"/>
          <w:lang w:val="uk-UA"/>
        </w:rPr>
      </w:pPr>
      <w:r w:rsidRPr="00D13BEC">
        <w:rPr>
          <w:rFonts w:ascii="Times New Roman" w:eastAsia="Calibri" w:hAnsi="Times New Roman" w:cs="Times New Roman"/>
          <w:sz w:val="24"/>
          <w:szCs w:val="24"/>
          <w:lang w:val="uk-UA"/>
        </w:rPr>
        <w:t>Головні регулятори фінансового сектору України такі як, Національний банк України, Національна комісія з цінних паперів та фондового ринку, Національна комісія, що здійснює державне регулювання у сфері ринків фінансових послуг (далі - регулятори), Міністерство фінансів України та Фонд гарантування вкладів фізичних осіб затвердили </w:t>
      </w:r>
      <w:hyperlink r:id="rId6" w:history="1">
        <w:r w:rsidRPr="00D13BEC">
          <w:rPr>
            <w:rFonts w:ascii="Times New Roman" w:eastAsia="Calibri" w:hAnsi="Times New Roman" w:cs="Times New Roman"/>
            <w:sz w:val="24"/>
            <w:szCs w:val="24"/>
            <w:lang w:val="uk-UA"/>
          </w:rPr>
          <w:t>Стратегію розвитку фінансового сектору України до 2025 року</w:t>
        </w:r>
      </w:hyperlink>
      <w:r w:rsidRPr="00D13BEC">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lang w:val="uk-UA"/>
        </w:rPr>
        <w:t>3</w:t>
      </w:r>
      <w:r w:rsidRPr="00D13BEC">
        <w:rPr>
          <w:rFonts w:ascii="Times New Roman" w:eastAsia="Calibri" w:hAnsi="Times New Roman" w:cs="Times New Roman"/>
          <w:sz w:val="24"/>
          <w:szCs w:val="24"/>
          <w:lang w:val="uk-UA"/>
        </w:rPr>
        <w:t>].</w:t>
      </w:r>
    </w:p>
    <w:p w:rsidR="00D13BEC" w:rsidRPr="00D13BEC" w:rsidRDefault="00D13BEC" w:rsidP="00D13BEC">
      <w:pPr>
        <w:shd w:val="clear" w:color="auto" w:fill="FFFFFF"/>
        <w:spacing w:after="0" w:line="240" w:lineRule="auto"/>
        <w:ind w:firstLine="709"/>
        <w:jc w:val="both"/>
        <w:textAlignment w:val="baseline"/>
        <w:rPr>
          <w:rFonts w:ascii="Times New Roman" w:eastAsia="Times New Roman" w:hAnsi="Times New Roman" w:cs="Times New Roman"/>
          <w:color w:val="1D1D1B"/>
          <w:sz w:val="24"/>
          <w:szCs w:val="24"/>
          <w:lang w:val="uk-UA" w:eastAsia="ru-RU"/>
        </w:rPr>
      </w:pPr>
      <w:r>
        <w:rPr>
          <w:rFonts w:ascii="Times New Roman" w:eastAsia="Times New Roman" w:hAnsi="Times New Roman" w:cs="Times New Roman"/>
          <w:color w:val="1D1D1B"/>
          <w:sz w:val="24"/>
          <w:szCs w:val="24"/>
          <w:lang w:val="uk-UA" w:eastAsia="ru-RU"/>
        </w:rPr>
        <w:t>Цією</w:t>
      </w:r>
      <w:r w:rsidRPr="00D13BEC">
        <w:rPr>
          <w:rFonts w:ascii="Times New Roman" w:eastAsia="Times New Roman" w:hAnsi="Times New Roman" w:cs="Times New Roman"/>
          <w:color w:val="1D1D1B"/>
          <w:sz w:val="24"/>
          <w:szCs w:val="24"/>
          <w:lang w:val="uk-UA" w:eastAsia="ru-RU"/>
        </w:rPr>
        <w:t xml:space="preserve"> стратегіє</w:t>
      </w:r>
      <w:r>
        <w:rPr>
          <w:rFonts w:ascii="Times New Roman" w:eastAsia="Times New Roman" w:hAnsi="Times New Roman" w:cs="Times New Roman"/>
          <w:color w:val="1D1D1B"/>
          <w:sz w:val="24"/>
          <w:szCs w:val="24"/>
          <w:lang w:val="uk-UA" w:eastAsia="ru-RU"/>
        </w:rPr>
        <w:t>ю</w:t>
      </w:r>
      <w:r w:rsidRPr="00D13BEC">
        <w:rPr>
          <w:rFonts w:ascii="Times New Roman" w:eastAsia="Times New Roman" w:hAnsi="Times New Roman" w:cs="Times New Roman"/>
          <w:color w:val="1D1D1B"/>
          <w:sz w:val="24"/>
          <w:szCs w:val="24"/>
          <w:lang w:val="uk-UA" w:eastAsia="ru-RU"/>
        </w:rPr>
        <w:t xml:space="preserve"> визначено імплементацію міжнародних практик та заходів, передбачених Угодою про асоціацію між Україною та ЄС та іншими міжнародними зобов’язаннями України, щодо подальшого реформування та розвитку фінансового сектору України. Дана стратегія посяде місце Комплексної програми розвитку фінансового сектору до 2020 року, яка визначала пріоритетні реформи регуляторів протягом попередніх п’яти років. На основі цієї стратегії на регіональному рівні розробляються відповідні програми розвитку фінансового сектору регіону, та основні її складові визначено як пріоритетні напрями розвитку.</w:t>
      </w:r>
    </w:p>
    <w:p w:rsidR="00D13BEC" w:rsidRDefault="00D13BEC" w:rsidP="00D13BEC">
      <w:pPr>
        <w:spacing w:after="0" w:line="240" w:lineRule="auto"/>
        <w:ind w:firstLine="709"/>
        <w:jc w:val="both"/>
        <w:rPr>
          <w:rFonts w:ascii="Times New Roman" w:eastAsia="Times New Roman" w:hAnsi="Times New Roman" w:cs="Times New Roman"/>
          <w:color w:val="1D1D1B"/>
          <w:sz w:val="24"/>
          <w:szCs w:val="24"/>
          <w:lang w:val="uk-UA" w:eastAsia="ru-RU"/>
        </w:rPr>
      </w:pPr>
      <w:r w:rsidRPr="00D13BEC">
        <w:rPr>
          <w:rFonts w:ascii="Times New Roman" w:eastAsia="Times New Roman" w:hAnsi="Times New Roman" w:cs="Times New Roman"/>
          <w:color w:val="1D1D1B"/>
          <w:sz w:val="24"/>
          <w:szCs w:val="24"/>
          <w:lang w:val="uk-UA" w:eastAsia="ru-RU"/>
        </w:rPr>
        <w:t>В даних програмах розвитку регіонів враховується теперішні та майбутні потреби представників усіх груп екосистеми як споживачів фінансових послуг, так і ключових гравців, що беруть участь у створенні цих послуг, а також сприяє реалізації місії фінансового сектору як України, так і регіону. Потреби всіх суб’єктів економічної діяльності на державному рівні мають бути задоволені через надання відповідних фінансових послуг учасниками фінансової екосистеми, яких можна об’єднати в чотири основні групи (рис.</w:t>
      </w:r>
      <w:r>
        <w:rPr>
          <w:rFonts w:ascii="Times New Roman" w:eastAsia="Times New Roman" w:hAnsi="Times New Roman" w:cs="Times New Roman"/>
          <w:color w:val="1D1D1B"/>
          <w:sz w:val="24"/>
          <w:szCs w:val="24"/>
          <w:lang w:val="uk-UA" w:eastAsia="ru-RU"/>
        </w:rPr>
        <w:t>1</w:t>
      </w:r>
      <w:r w:rsidRPr="00D13BEC">
        <w:rPr>
          <w:rFonts w:ascii="Times New Roman" w:eastAsia="Times New Roman" w:hAnsi="Times New Roman" w:cs="Times New Roman"/>
          <w:color w:val="1D1D1B"/>
          <w:sz w:val="24"/>
          <w:szCs w:val="24"/>
          <w:lang w:val="uk-UA" w:eastAsia="ru-RU"/>
        </w:rPr>
        <w:t xml:space="preserve">). </w:t>
      </w:r>
    </w:p>
    <w:p w:rsidR="00D13BEC" w:rsidRPr="00D13BEC" w:rsidRDefault="00D13BEC" w:rsidP="00D13BEC">
      <w:pPr>
        <w:spacing w:after="0" w:line="240" w:lineRule="auto"/>
        <w:ind w:firstLine="709"/>
        <w:jc w:val="both"/>
        <w:rPr>
          <w:rFonts w:ascii="Times New Roman" w:eastAsia="Times New Roman" w:hAnsi="Times New Roman" w:cs="Times New Roman"/>
          <w:color w:val="1D1D1B"/>
          <w:sz w:val="24"/>
          <w:szCs w:val="24"/>
          <w:lang w:val="uk-UA" w:eastAsia="ru-RU"/>
        </w:rPr>
      </w:pPr>
      <w:r w:rsidRPr="00D13BEC">
        <w:rPr>
          <w:rFonts w:ascii="Times New Roman" w:eastAsia="Times New Roman" w:hAnsi="Times New Roman" w:cs="Times New Roman"/>
          <w:color w:val="1D1D1B"/>
          <w:sz w:val="24"/>
          <w:szCs w:val="24"/>
          <w:lang w:val="uk-UA" w:eastAsia="ru-RU"/>
        </w:rPr>
        <w:t>Стратегія передбачає розвиток фінансового сектору за п’ятьма основними напрямами:</w:t>
      </w:r>
    </w:p>
    <w:p w:rsidR="00D13BEC" w:rsidRPr="00D13BEC" w:rsidRDefault="00D13BEC" w:rsidP="00D13BEC">
      <w:pPr>
        <w:numPr>
          <w:ilvl w:val="0"/>
          <w:numId w:val="6"/>
        </w:numPr>
        <w:spacing w:after="0" w:line="240" w:lineRule="auto"/>
        <w:ind w:left="142" w:firstLine="709"/>
        <w:rPr>
          <w:rFonts w:ascii="Times New Roman" w:eastAsia="Times New Roman" w:hAnsi="Times New Roman" w:cs="Times New Roman"/>
          <w:color w:val="1D1D1B"/>
          <w:sz w:val="24"/>
          <w:szCs w:val="24"/>
          <w:lang w:val="uk-UA" w:eastAsia="ru-RU"/>
        </w:rPr>
      </w:pPr>
      <w:r w:rsidRPr="00D13BEC">
        <w:rPr>
          <w:rFonts w:ascii="Times New Roman" w:eastAsia="Times New Roman" w:hAnsi="Times New Roman" w:cs="Times New Roman"/>
          <w:color w:val="1D1D1B"/>
          <w:sz w:val="24"/>
          <w:szCs w:val="24"/>
          <w:lang w:val="uk-UA" w:eastAsia="ru-RU"/>
        </w:rPr>
        <w:t>зміцнення фінансової стабільності;</w:t>
      </w:r>
    </w:p>
    <w:p w:rsidR="00D13BEC" w:rsidRPr="00D13BEC" w:rsidRDefault="00D13BEC" w:rsidP="00D13BEC">
      <w:pPr>
        <w:numPr>
          <w:ilvl w:val="0"/>
          <w:numId w:val="6"/>
        </w:numPr>
        <w:spacing w:after="0" w:line="240" w:lineRule="auto"/>
        <w:ind w:left="142" w:firstLine="709"/>
        <w:rPr>
          <w:rFonts w:ascii="Times New Roman" w:eastAsia="Times New Roman" w:hAnsi="Times New Roman" w:cs="Times New Roman"/>
          <w:color w:val="1D1D1B"/>
          <w:sz w:val="24"/>
          <w:szCs w:val="24"/>
          <w:lang w:val="uk-UA" w:eastAsia="ru-RU"/>
        </w:rPr>
      </w:pPr>
      <w:r w:rsidRPr="00D13BEC">
        <w:rPr>
          <w:rFonts w:ascii="Times New Roman" w:eastAsia="Times New Roman" w:hAnsi="Times New Roman" w:cs="Times New Roman"/>
          <w:color w:val="1D1D1B"/>
          <w:sz w:val="24"/>
          <w:szCs w:val="24"/>
          <w:lang w:val="uk-UA" w:eastAsia="ru-RU"/>
        </w:rPr>
        <w:t>сприяння макроекономічному розвитку та зростанню економіки;</w:t>
      </w:r>
    </w:p>
    <w:p w:rsidR="00D13BEC" w:rsidRPr="00D13BEC" w:rsidRDefault="00D13BEC" w:rsidP="00D13BEC">
      <w:pPr>
        <w:numPr>
          <w:ilvl w:val="0"/>
          <w:numId w:val="6"/>
        </w:numPr>
        <w:spacing w:after="0" w:line="240" w:lineRule="auto"/>
        <w:ind w:left="142" w:firstLine="709"/>
        <w:rPr>
          <w:rFonts w:ascii="Times New Roman" w:eastAsia="Times New Roman" w:hAnsi="Times New Roman" w:cs="Times New Roman"/>
          <w:color w:val="1D1D1B"/>
          <w:sz w:val="24"/>
          <w:szCs w:val="24"/>
          <w:lang w:val="uk-UA" w:eastAsia="ru-RU"/>
        </w:rPr>
      </w:pPr>
      <w:r w:rsidRPr="00D13BEC">
        <w:rPr>
          <w:rFonts w:ascii="Times New Roman" w:eastAsia="Times New Roman" w:hAnsi="Times New Roman" w:cs="Times New Roman"/>
          <w:color w:val="1D1D1B"/>
          <w:sz w:val="24"/>
          <w:szCs w:val="24"/>
          <w:lang w:val="uk-UA" w:eastAsia="ru-RU"/>
        </w:rPr>
        <w:t>розвиток фінансових ринків;</w:t>
      </w:r>
    </w:p>
    <w:p w:rsidR="00D13BEC" w:rsidRPr="00D13BEC" w:rsidRDefault="00D13BEC" w:rsidP="00D13BEC">
      <w:pPr>
        <w:numPr>
          <w:ilvl w:val="0"/>
          <w:numId w:val="6"/>
        </w:numPr>
        <w:spacing w:after="0" w:line="240" w:lineRule="auto"/>
        <w:ind w:left="142" w:firstLine="709"/>
        <w:rPr>
          <w:rFonts w:ascii="Times New Roman" w:eastAsia="Times New Roman" w:hAnsi="Times New Roman" w:cs="Times New Roman"/>
          <w:color w:val="1D1D1B"/>
          <w:sz w:val="24"/>
          <w:szCs w:val="24"/>
          <w:lang w:val="uk-UA" w:eastAsia="ru-RU"/>
        </w:rPr>
      </w:pPr>
      <w:r w:rsidRPr="00D13BEC">
        <w:rPr>
          <w:rFonts w:ascii="Times New Roman" w:eastAsia="Times New Roman" w:hAnsi="Times New Roman" w:cs="Times New Roman"/>
          <w:color w:val="1D1D1B"/>
          <w:sz w:val="24"/>
          <w:szCs w:val="24"/>
          <w:lang w:val="uk-UA" w:eastAsia="ru-RU"/>
        </w:rPr>
        <w:t>розширення фінансової інклюзії;</w:t>
      </w:r>
    </w:p>
    <w:p w:rsidR="00D13BEC" w:rsidRPr="00D13BEC" w:rsidRDefault="00D13BEC" w:rsidP="00D13BEC">
      <w:pPr>
        <w:numPr>
          <w:ilvl w:val="0"/>
          <w:numId w:val="6"/>
        </w:numPr>
        <w:spacing w:after="0" w:line="240" w:lineRule="auto"/>
        <w:ind w:left="142" w:firstLine="709"/>
        <w:rPr>
          <w:rFonts w:ascii="Times New Roman" w:eastAsia="Times New Roman" w:hAnsi="Times New Roman" w:cs="Times New Roman"/>
          <w:bCs/>
          <w:color w:val="1D1D1B"/>
          <w:sz w:val="24"/>
          <w:szCs w:val="24"/>
          <w:lang w:val="uk-UA" w:eastAsia="ru-RU"/>
        </w:rPr>
      </w:pPr>
      <w:r w:rsidRPr="00D13BEC">
        <w:rPr>
          <w:rFonts w:ascii="Times New Roman" w:eastAsia="Times New Roman" w:hAnsi="Times New Roman" w:cs="Times New Roman"/>
          <w:color w:val="1D1D1B"/>
          <w:sz w:val="24"/>
          <w:szCs w:val="24"/>
          <w:lang w:val="uk-UA" w:eastAsia="ru-RU"/>
        </w:rPr>
        <w:t>впровадження інновацій у фінансовому секторі.</w:t>
      </w:r>
    </w:p>
    <w:p w:rsidR="00D13BEC" w:rsidRPr="00D13BEC" w:rsidRDefault="00D13BEC" w:rsidP="00D13BEC">
      <w:pPr>
        <w:spacing w:after="0" w:line="240" w:lineRule="auto"/>
        <w:ind w:firstLine="709"/>
        <w:jc w:val="both"/>
        <w:rPr>
          <w:rFonts w:ascii="Times New Roman" w:eastAsia="Times New Roman" w:hAnsi="Times New Roman" w:cs="Times New Roman"/>
          <w:color w:val="1D1D1B"/>
          <w:sz w:val="24"/>
          <w:szCs w:val="24"/>
          <w:lang w:val="uk-UA" w:eastAsia="ru-RU"/>
        </w:rPr>
      </w:pPr>
      <w:r w:rsidRPr="00D13BEC">
        <w:rPr>
          <w:rFonts w:ascii="Times New Roman" w:eastAsia="Times New Roman" w:hAnsi="Times New Roman" w:cs="Times New Roman"/>
          <w:bCs/>
          <w:color w:val="1D1D1B"/>
          <w:sz w:val="24"/>
          <w:szCs w:val="24"/>
          <w:bdr w:val="none" w:sz="0" w:space="0" w:color="auto" w:frame="1"/>
          <w:shd w:val="clear" w:color="auto" w:fill="FFFFFF"/>
          <w:lang w:val="uk-UA" w:eastAsia="ru-RU"/>
        </w:rPr>
        <w:t xml:space="preserve">Національний банк України визначив фінансову інклюзію однією зі своїх стратегічних цілей. Фінансова інклюзія – створення умов для залучення усіх сегментів </w:t>
      </w:r>
      <w:r w:rsidRPr="00D13BEC">
        <w:rPr>
          <w:rFonts w:ascii="Times New Roman" w:eastAsia="Times New Roman" w:hAnsi="Times New Roman" w:cs="Times New Roman"/>
          <w:bCs/>
          <w:color w:val="1D1D1B"/>
          <w:sz w:val="24"/>
          <w:szCs w:val="24"/>
          <w:bdr w:val="none" w:sz="0" w:space="0" w:color="auto" w:frame="1"/>
          <w:shd w:val="clear" w:color="auto" w:fill="FFFFFF"/>
          <w:lang w:val="uk-UA" w:eastAsia="ru-RU"/>
        </w:rPr>
        <w:lastRenderedPageBreak/>
        <w:t>населення та бізнесу до користування різноманітними фінансовими послугами, які доступні за інфраструктурою та ціною, офіційно урегульовані та відповідають потребам населення з метою стимулювання економічного зростання країни та зменшення соціальної нерівності у суспільстві.</w:t>
      </w:r>
    </w:p>
    <w:p w:rsidR="00D13BEC" w:rsidRPr="00D13BEC" w:rsidRDefault="00D13BEC" w:rsidP="00D13BEC">
      <w:pPr>
        <w:spacing w:after="0" w:line="240" w:lineRule="auto"/>
        <w:ind w:firstLine="709"/>
        <w:jc w:val="both"/>
        <w:textAlignment w:val="baseline"/>
        <w:rPr>
          <w:rFonts w:ascii="Times New Roman" w:eastAsia="Times New Roman" w:hAnsi="Times New Roman" w:cs="Times New Roman"/>
          <w:color w:val="1D1D1B"/>
          <w:sz w:val="24"/>
          <w:szCs w:val="24"/>
          <w:lang w:val="uk-UA" w:eastAsia="ru-RU"/>
        </w:rPr>
      </w:pPr>
    </w:p>
    <w:p w:rsidR="00D13BEC" w:rsidRPr="00D13BEC" w:rsidRDefault="00D13BEC" w:rsidP="00D13BEC">
      <w:pPr>
        <w:shd w:val="clear" w:color="auto" w:fill="FFFFFF"/>
        <w:spacing w:after="0" w:line="240" w:lineRule="auto"/>
        <w:jc w:val="center"/>
        <w:textAlignment w:val="baseline"/>
        <w:rPr>
          <w:rFonts w:ascii="SourceSansPro" w:eastAsia="Times New Roman" w:hAnsi="SourceSansPro" w:cs="Times New Roman"/>
          <w:color w:val="1D1D1B"/>
          <w:sz w:val="24"/>
          <w:szCs w:val="24"/>
          <w:lang w:val="uk-UA" w:eastAsia="ru-RU"/>
        </w:rPr>
      </w:pPr>
      <w:r w:rsidRPr="00D13BEC">
        <w:rPr>
          <w:rFonts w:ascii="proximanova" w:eastAsia="Times New Roman" w:hAnsi="proximanova" w:cs="Arial"/>
          <w:noProof/>
          <w:color w:val="404040"/>
          <w:sz w:val="24"/>
          <w:szCs w:val="24"/>
          <w:lang w:eastAsia="ru-RU"/>
        </w:rPr>
        <w:drawing>
          <wp:inline distT="0" distB="0" distL="0" distR="0" wp14:anchorId="5D8812F6" wp14:editId="484C45ED">
            <wp:extent cx="5006226" cy="4309534"/>
            <wp:effectExtent l="0" t="0" r="4445" b="0"/>
            <wp:docPr id="1" name="Рисунок 1" descr="https://ua.news/wp-content/uploads/2020/01/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a.news/wp-content/uploads/2020/01/01-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2819" cy="4323818"/>
                    </a:xfrm>
                    <a:prstGeom prst="rect">
                      <a:avLst/>
                    </a:prstGeom>
                    <a:noFill/>
                    <a:ln>
                      <a:noFill/>
                    </a:ln>
                  </pic:spPr>
                </pic:pic>
              </a:graphicData>
            </a:graphic>
          </wp:inline>
        </w:drawing>
      </w:r>
    </w:p>
    <w:p w:rsidR="00D13BEC" w:rsidRDefault="00D13BEC" w:rsidP="00D13BEC">
      <w:pPr>
        <w:shd w:val="clear" w:color="auto" w:fill="FFFFFF"/>
        <w:spacing w:after="0" w:line="240" w:lineRule="auto"/>
        <w:jc w:val="center"/>
        <w:textAlignment w:val="baseline"/>
        <w:rPr>
          <w:rFonts w:ascii="Times New Roman" w:eastAsia="Times New Roman" w:hAnsi="Times New Roman" w:cs="Times New Roman"/>
          <w:color w:val="1D1D1B"/>
          <w:sz w:val="24"/>
          <w:szCs w:val="24"/>
          <w:lang w:val="uk-UA" w:eastAsia="ru-RU"/>
        </w:rPr>
      </w:pPr>
    </w:p>
    <w:p w:rsidR="00D13BEC" w:rsidRPr="00D13BEC" w:rsidRDefault="00D13BEC" w:rsidP="00D13BEC">
      <w:pPr>
        <w:shd w:val="clear" w:color="auto" w:fill="FFFFFF"/>
        <w:spacing w:after="0" w:line="240" w:lineRule="auto"/>
        <w:jc w:val="center"/>
        <w:textAlignment w:val="baseline"/>
        <w:rPr>
          <w:rFonts w:ascii="Times New Roman" w:eastAsia="Times New Roman" w:hAnsi="Times New Roman" w:cs="Times New Roman"/>
          <w:color w:val="1D1D1B"/>
          <w:sz w:val="24"/>
          <w:szCs w:val="24"/>
          <w:lang w:val="uk-UA" w:eastAsia="ru-RU"/>
        </w:rPr>
      </w:pPr>
      <w:r w:rsidRPr="00D13BEC">
        <w:rPr>
          <w:rFonts w:ascii="Times New Roman" w:eastAsia="Times New Roman" w:hAnsi="Times New Roman" w:cs="Times New Roman"/>
          <w:color w:val="1D1D1B"/>
          <w:sz w:val="24"/>
          <w:szCs w:val="24"/>
          <w:lang w:val="uk-UA" w:eastAsia="ru-RU"/>
        </w:rPr>
        <w:t xml:space="preserve">Рис. </w:t>
      </w:r>
      <w:r>
        <w:rPr>
          <w:rFonts w:ascii="Times New Roman" w:eastAsia="Times New Roman" w:hAnsi="Times New Roman" w:cs="Times New Roman"/>
          <w:color w:val="1D1D1B"/>
          <w:sz w:val="24"/>
          <w:szCs w:val="24"/>
          <w:lang w:val="uk-UA" w:eastAsia="ru-RU"/>
        </w:rPr>
        <w:t>1</w:t>
      </w:r>
      <w:r w:rsidRPr="00D13BEC">
        <w:rPr>
          <w:rFonts w:ascii="Times New Roman" w:eastAsia="Times New Roman" w:hAnsi="Times New Roman" w:cs="Times New Roman"/>
          <w:color w:val="1D1D1B"/>
          <w:sz w:val="24"/>
          <w:szCs w:val="24"/>
          <w:lang w:val="uk-UA" w:eastAsia="ru-RU"/>
        </w:rPr>
        <w:t>. Ключові гравці фінансової екосистеми</w:t>
      </w:r>
    </w:p>
    <w:p w:rsidR="00D13BEC" w:rsidRPr="00D13BEC" w:rsidRDefault="00D13BEC" w:rsidP="00D13BEC">
      <w:pPr>
        <w:tabs>
          <w:tab w:val="left" w:pos="993"/>
        </w:tabs>
        <w:spacing w:after="0" w:line="240" w:lineRule="auto"/>
        <w:ind w:firstLine="709"/>
        <w:jc w:val="both"/>
        <w:rPr>
          <w:rFonts w:ascii="Times New Roman" w:eastAsia="Times New Roman" w:hAnsi="Times New Roman" w:cs="Times New Roman"/>
          <w:bCs/>
          <w:color w:val="1D1D1B"/>
          <w:sz w:val="24"/>
          <w:szCs w:val="24"/>
          <w:bdr w:val="none" w:sz="0" w:space="0" w:color="auto" w:frame="1"/>
          <w:shd w:val="clear" w:color="auto" w:fill="FFFFFF"/>
          <w:lang w:val="uk-UA" w:eastAsia="ru-RU"/>
        </w:rPr>
      </w:pPr>
    </w:p>
    <w:p w:rsidR="00D13BEC" w:rsidRDefault="00D13BEC" w:rsidP="00D13BEC">
      <w:pPr>
        <w:tabs>
          <w:tab w:val="left" w:pos="993"/>
        </w:tabs>
        <w:spacing w:after="0" w:line="240" w:lineRule="auto"/>
        <w:ind w:firstLine="709"/>
        <w:jc w:val="both"/>
        <w:rPr>
          <w:rFonts w:ascii="Times New Roman" w:eastAsia="Times New Roman" w:hAnsi="Times New Roman" w:cs="Times New Roman"/>
          <w:bCs/>
          <w:color w:val="1D1D1B"/>
          <w:sz w:val="24"/>
          <w:szCs w:val="24"/>
          <w:bdr w:val="none" w:sz="0" w:space="0" w:color="auto" w:frame="1"/>
          <w:shd w:val="clear" w:color="auto" w:fill="FFFFFF"/>
          <w:lang w:val="uk-UA" w:eastAsia="ru-RU"/>
        </w:rPr>
      </w:pPr>
    </w:p>
    <w:p w:rsidR="00D13BEC" w:rsidRPr="00D13BEC" w:rsidRDefault="00D13BEC" w:rsidP="00D13BEC">
      <w:pPr>
        <w:tabs>
          <w:tab w:val="left" w:pos="993"/>
        </w:tabs>
        <w:spacing w:after="0" w:line="240" w:lineRule="auto"/>
        <w:ind w:firstLine="709"/>
        <w:jc w:val="both"/>
        <w:rPr>
          <w:rFonts w:ascii="Times New Roman" w:eastAsia="Times New Roman" w:hAnsi="Times New Roman" w:cs="Times New Roman"/>
          <w:bCs/>
          <w:color w:val="1D1D1B"/>
          <w:sz w:val="24"/>
          <w:szCs w:val="24"/>
          <w:bdr w:val="none" w:sz="0" w:space="0" w:color="auto" w:frame="1"/>
          <w:shd w:val="clear" w:color="auto" w:fill="FFFFFF"/>
          <w:lang w:val="uk-UA" w:eastAsia="ru-RU"/>
        </w:rPr>
      </w:pPr>
      <w:r w:rsidRPr="00D13BEC">
        <w:rPr>
          <w:rFonts w:ascii="Times New Roman" w:eastAsia="Times New Roman" w:hAnsi="Times New Roman" w:cs="Times New Roman"/>
          <w:bCs/>
          <w:color w:val="1D1D1B"/>
          <w:sz w:val="24"/>
          <w:szCs w:val="24"/>
          <w:bdr w:val="none" w:sz="0" w:space="0" w:color="auto" w:frame="1"/>
          <w:shd w:val="clear" w:color="auto" w:fill="FFFFFF"/>
          <w:lang w:val="uk-UA" w:eastAsia="ru-RU"/>
        </w:rPr>
        <w:t>Реалізація цілі досягатиметься через формування та розвиток системи захисту прав споживачів, Національну стратегію та заходи з підвищення фінансової грамотності українців та розвиток безготівкової економіки через формування відповідних програм розвитку фінансового сектору на регіональному рівні.</w:t>
      </w:r>
    </w:p>
    <w:p w:rsidR="00D13BEC" w:rsidRPr="00D13BEC" w:rsidRDefault="00D13BEC" w:rsidP="00D13BEC">
      <w:pPr>
        <w:spacing w:after="0" w:line="240" w:lineRule="auto"/>
        <w:ind w:firstLine="709"/>
        <w:jc w:val="both"/>
        <w:rPr>
          <w:rFonts w:ascii="Times New Roman" w:eastAsia="Calibri" w:hAnsi="Times New Roman" w:cs="Times New Roman"/>
          <w:bCs/>
          <w:color w:val="1D1D1B"/>
          <w:sz w:val="24"/>
          <w:szCs w:val="24"/>
          <w:bdr w:val="none" w:sz="0" w:space="0" w:color="auto" w:frame="1"/>
          <w:shd w:val="clear" w:color="auto" w:fill="FFFFFF"/>
          <w:lang w:val="uk-UA"/>
        </w:rPr>
      </w:pPr>
      <w:r w:rsidRPr="00D13BEC">
        <w:rPr>
          <w:rFonts w:ascii="Times New Roman" w:eastAsia="Calibri" w:hAnsi="Times New Roman" w:cs="Times New Roman"/>
          <w:bCs/>
          <w:color w:val="1D1D1B"/>
          <w:sz w:val="24"/>
          <w:szCs w:val="24"/>
          <w:bdr w:val="none" w:sz="0" w:space="0" w:color="auto" w:frame="1"/>
          <w:shd w:val="clear" w:color="auto" w:fill="FFFFFF"/>
          <w:lang w:val="uk-UA"/>
        </w:rPr>
        <w:t>Так, можна виділити п’ять ключових рішень-пріоритетів розвитку регіональної фінансової інклюзії</w:t>
      </w:r>
      <w:r w:rsidR="00096B2A">
        <w:rPr>
          <w:rFonts w:ascii="Times New Roman" w:eastAsia="Calibri" w:hAnsi="Times New Roman" w:cs="Times New Roman"/>
          <w:bCs/>
          <w:color w:val="1D1D1B"/>
          <w:sz w:val="24"/>
          <w:szCs w:val="24"/>
          <w:bdr w:val="none" w:sz="0" w:space="0" w:color="auto" w:frame="1"/>
          <w:shd w:val="clear" w:color="auto" w:fill="FFFFFF"/>
          <w:lang w:val="uk-UA"/>
        </w:rPr>
        <w:t xml:space="preserve"> </w:t>
      </w:r>
      <w:r w:rsidR="00096B2A" w:rsidRPr="00D13BEC">
        <w:rPr>
          <w:rFonts w:ascii="Times New Roman" w:eastAsia="Calibri" w:hAnsi="Times New Roman" w:cs="Times New Roman"/>
          <w:sz w:val="24"/>
          <w:szCs w:val="24"/>
          <w:lang w:val="uk-UA"/>
        </w:rPr>
        <w:t>[</w:t>
      </w:r>
      <w:r w:rsidR="00096B2A">
        <w:rPr>
          <w:rFonts w:ascii="Times New Roman" w:eastAsia="Calibri" w:hAnsi="Times New Roman" w:cs="Times New Roman"/>
          <w:sz w:val="24"/>
          <w:szCs w:val="24"/>
          <w:lang w:val="uk-UA"/>
        </w:rPr>
        <w:t>4</w:t>
      </w:r>
      <w:r w:rsidR="00096B2A" w:rsidRPr="00D13BEC">
        <w:rPr>
          <w:rFonts w:ascii="Times New Roman" w:eastAsia="Calibri" w:hAnsi="Times New Roman" w:cs="Times New Roman"/>
          <w:sz w:val="24"/>
          <w:szCs w:val="24"/>
          <w:lang w:val="uk-UA"/>
        </w:rPr>
        <w:t>]</w:t>
      </w:r>
      <w:r w:rsidRPr="00D13BEC">
        <w:rPr>
          <w:rFonts w:ascii="Times New Roman" w:eastAsia="Calibri" w:hAnsi="Times New Roman" w:cs="Times New Roman"/>
          <w:bCs/>
          <w:color w:val="1D1D1B"/>
          <w:sz w:val="24"/>
          <w:szCs w:val="24"/>
          <w:bdr w:val="none" w:sz="0" w:space="0" w:color="auto" w:frame="1"/>
          <w:shd w:val="clear" w:color="auto" w:fill="FFFFFF"/>
          <w:lang w:val="uk-UA"/>
        </w:rPr>
        <w:t>:</w:t>
      </w:r>
    </w:p>
    <w:p w:rsidR="00D13BEC" w:rsidRPr="00D13BEC" w:rsidRDefault="00D13BEC" w:rsidP="00D13BEC">
      <w:pPr>
        <w:numPr>
          <w:ilvl w:val="0"/>
          <w:numId w:val="6"/>
        </w:numPr>
        <w:tabs>
          <w:tab w:val="left" w:pos="993"/>
        </w:tabs>
        <w:spacing w:after="0" w:line="240" w:lineRule="auto"/>
        <w:ind w:left="0" w:firstLine="709"/>
        <w:contextualSpacing/>
        <w:jc w:val="both"/>
        <w:rPr>
          <w:rFonts w:ascii="Times New Roman" w:eastAsia="Calibri" w:hAnsi="Times New Roman" w:cs="Times New Roman"/>
          <w:bCs/>
          <w:color w:val="1D1D1B"/>
          <w:sz w:val="24"/>
          <w:szCs w:val="24"/>
          <w:bdr w:val="none" w:sz="0" w:space="0" w:color="auto" w:frame="1"/>
          <w:shd w:val="clear" w:color="auto" w:fill="FFFFFF"/>
          <w:lang w:val="uk-UA"/>
        </w:rPr>
      </w:pPr>
      <w:r w:rsidRPr="00D13BEC">
        <w:rPr>
          <w:rFonts w:ascii="Times New Roman" w:eastAsia="Calibri" w:hAnsi="Times New Roman" w:cs="Times New Roman"/>
          <w:bCs/>
          <w:color w:val="1D1D1B"/>
          <w:sz w:val="24"/>
          <w:szCs w:val="24"/>
          <w:bdr w:val="none" w:sz="0" w:space="0" w:color="auto" w:frame="1"/>
          <w:shd w:val="clear" w:color="auto" w:fill="FFFFFF"/>
          <w:lang w:val="uk-UA"/>
        </w:rPr>
        <w:t>Зміна фінансової культури суспільства регіону. Фінансова культура регіону − знання, навички і ставлення, необхідні для забезпечення відповідальної фінансової поведінки та підвищення фінансової інклюзії українців. Компонентами фінансової культури регіону є цілий набір культур − страхування, заощаджень, підприємництва, інвестування, податкова, кредитна, пенсійна, життя в суспільстві, кредитних історій, тощо.</w:t>
      </w:r>
    </w:p>
    <w:p w:rsidR="00D13BEC" w:rsidRPr="00D13BEC" w:rsidRDefault="00D13BEC" w:rsidP="00D13BEC">
      <w:pPr>
        <w:numPr>
          <w:ilvl w:val="0"/>
          <w:numId w:val="6"/>
        </w:numPr>
        <w:tabs>
          <w:tab w:val="left" w:pos="993"/>
        </w:tabs>
        <w:spacing w:after="0" w:line="240" w:lineRule="auto"/>
        <w:ind w:left="0" w:firstLine="709"/>
        <w:contextualSpacing/>
        <w:jc w:val="both"/>
        <w:rPr>
          <w:rFonts w:ascii="Times New Roman" w:eastAsia="Calibri" w:hAnsi="Times New Roman" w:cs="Times New Roman"/>
          <w:bCs/>
          <w:color w:val="1D1D1B"/>
          <w:sz w:val="24"/>
          <w:szCs w:val="24"/>
          <w:bdr w:val="none" w:sz="0" w:space="0" w:color="auto" w:frame="1"/>
          <w:shd w:val="clear" w:color="auto" w:fill="FFFFFF"/>
          <w:lang w:val="uk-UA"/>
        </w:rPr>
      </w:pPr>
      <w:r w:rsidRPr="00D13BEC">
        <w:rPr>
          <w:rFonts w:ascii="Times New Roman" w:eastAsia="Calibri" w:hAnsi="Times New Roman" w:cs="Times New Roman"/>
          <w:bCs/>
          <w:color w:val="1D1D1B"/>
          <w:sz w:val="24"/>
          <w:szCs w:val="24"/>
          <w:bdr w:val="none" w:sz="0" w:space="0" w:color="auto" w:frame="1"/>
          <w:shd w:val="clear" w:color="auto" w:fill="FFFFFF"/>
          <w:lang w:val="uk-UA"/>
        </w:rPr>
        <w:t>Фінансова грамотність та європейський світогляд українців. Громадяни як країни, так і регіону повинні розділяти європейські цінності і бути готовими жити за європейськими стандартами, формувати власний бюджет, бути відповідальним у своїх фінансових рішеннях, займатися довгостроковим фінансовим плануванням, економити, контролювати свої фінансові рахунки, розсудливо використовувати кредити і управляти боргами.</w:t>
      </w:r>
    </w:p>
    <w:p w:rsidR="00D13BEC" w:rsidRPr="00D13BEC" w:rsidRDefault="00D13BEC" w:rsidP="00D13BEC">
      <w:pPr>
        <w:numPr>
          <w:ilvl w:val="0"/>
          <w:numId w:val="6"/>
        </w:numPr>
        <w:tabs>
          <w:tab w:val="left" w:pos="993"/>
        </w:tabs>
        <w:spacing w:after="0" w:line="240" w:lineRule="auto"/>
        <w:ind w:left="0" w:firstLine="709"/>
        <w:contextualSpacing/>
        <w:jc w:val="both"/>
        <w:rPr>
          <w:rFonts w:ascii="Times New Roman" w:eastAsia="Calibri" w:hAnsi="Times New Roman" w:cs="Times New Roman"/>
          <w:bCs/>
          <w:color w:val="1D1D1B"/>
          <w:sz w:val="24"/>
          <w:szCs w:val="24"/>
          <w:bdr w:val="none" w:sz="0" w:space="0" w:color="auto" w:frame="1"/>
          <w:shd w:val="clear" w:color="auto" w:fill="FFFFFF"/>
          <w:lang w:val="uk-UA"/>
        </w:rPr>
      </w:pPr>
      <w:r w:rsidRPr="00D13BEC">
        <w:rPr>
          <w:rFonts w:ascii="Times New Roman" w:eastAsia="Calibri" w:hAnsi="Times New Roman" w:cs="Times New Roman"/>
          <w:bCs/>
          <w:color w:val="1D1D1B"/>
          <w:sz w:val="24"/>
          <w:szCs w:val="24"/>
          <w:bdr w:val="none" w:sz="0" w:space="0" w:color="auto" w:frame="1"/>
          <w:shd w:val="clear" w:color="auto" w:fill="FFFFFF"/>
          <w:lang w:val="uk-UA"/>
        </w:rPr>
        <w:t xml:space="preserve">Молодь, як драйвер змін. Молодь у віці від 10 до 24 років регіону (покоління Z і покоління Альфа) є головною цільовою аудиторією. Тільки молодь може виступати агентами змін, здатних навчити своїх друзів, батьків, бабусь і дідусів фінансовим знанням і навичкам, </w:t>
      </w:r>
      <w:r w:rsidRPr="00D13BEC">
        <w:rPr>
          <w:rFonts w:ascii="Times New Roman" w:eastAsia="Calibri" w:hAnsi="Times New Roman" w:cs="Times New Roman"/>
          <w:bCs/>
          <w:color w:val="1D1D1B"/>
          <w:sz w:val="24"/>
          <w:szCs w:val="24"/>
          <w:bdr w:val="none" w:sz="0" w:space="0" w:color="auto" w:frame="1"/>
          <w:shd w:val="clear" w:color="auto" w:fill="FFFFFF"/>
          <w:lang w:val="uk-UA"/>
        </w:rPr>
        <w:lastRenderedPageBreak/>
        <w:t>в яких потребують громадяни, щоб робити зважені рішення і відповідати за свою фінансову поведінку.</w:t>
      </w:r>
    </w:p>
    <w:p w:rsidR="00D13BEC" w:rsidRPr="00D13BEC" w:rsidRDefault="00D13BEC" w:rsidP="00D13BEC">
      <w:pPr>
        <w:numPr>
          <w:ilvl w:val="0"/>
          <w:numId w:val="6"/>
        </w:numPr>
        <w:tabs>
          <w:tab w:val="left" w:pos="993"/>
        </w:tabs>
        <w:spacing w:after="0" w:line="240" w:lineRule="auto"/>
        <w:ind w:left="0" w:firstLine="709"/>
        <w:contextualSpacing/>
        <w:jc w:val="both"/>
        <w:rPr>
          <w:rFonts w:ascii="Times New Roman" w:eastAsia="Calibri" w:hAnsi="Times New Roman" w:cs="Times New Roman"/>
          <w:bCs/>
          <w:color w:val="1D1D1B"/>
          <w:sz w:val="24"/>
          <w:szCs w:val="24"/>
          <w:bdr w:val="none" w:sz="0" w:space="0" w:color="auto" w:frame="1"/>
          <w:shd w:val="clear" w:color="auto" w:fill="FFFFFF"/>
          <w:lang w:val="uk-UA"/>
        </w:rPr>
      </w:pPr>
      <w:r w:rsidRPr="00D13BEC">
        <w:rPr>
          <w:rFonts w:ascii="Times New Roman" w:eastAsia="Calibri" w:hAnsi="Times New Roman" w:cs="Times New Roman"/>
          <w:bCs/>
          <w:color w:val="1D1D1B"/>
          <w:sz w:val="24"/>
          <w:szCs w:val="24"/>
          <w:bdr w:val="none" w:sz="0" w:space="0" w:color="auto" w:frame="1"/>
          <w:shd w:val="clear" w:color="auto" w:fill="FFFFFF"/>
          <w:lang w:val="uk-UA"/>
        </w:rPr>
        <w:t xml:space="preserve">Формування єдиної комунікаційної платформи </w:t>
      </w:r>
      <w:proofErr w:type="spellStart"/>
      <w:r w:rsidRPr="00D13BEC">
        <w:rPr>
          <w:rFonts w:ascii="Times New Roman" w:eastAsia="Calibri" w:hAnsi="Times New Roman" w:cs="Times New Roman"/>
          <w:bCs/>
          <w:color w:val="1D1D1B"/>
          <w:sz w:val="24"/>
          <w:szCs w:val="24"/>
          <w:bdr w:val="none" w:sz="0" w:space="0" w:color="auto" w:frame="1"/>
          <w:shd w:val="clear" w:color="auto" w:fill="FFFFFF"/>
          <w:lang w:val="uk-UA"/>
        </w:rPr>
        <w:t>реігону</w:t>
      </w:r>
      <w:proofErr w:type="spellEnd"/>
      <w:r w:rsidRPr="00D13BEC">
        <w:rPr>
          <w:rFonts w:ascii="Times New Roman" w:eastAsia="Calibri" w:hAnsi="Times New Roman" w:cs="Times New Roman"/>
          <w:bCs/>
          <w:color w:val="1D1D1B"/>
          <w:sz w:val="24"/>
          <w:szCs w:val="24"/>
          <w:bdr w:val="none" w:sz="0" w:space="0" w:color="auto" w:frame="1"/>
          <w:shd w:val="clear" w:color="auto" w:fill="FFFFFF"/>
          <w:lang w:val="uk-UA"/>
        </w:rPr>
        <w:t xml:space="preserve">. Єдина комунікаційна платформа під єдиним брендом об'єднає всі зацікавлені сторони і заходи, стане </w:t>
      </w:r>
      <w:proofErr w:type="spellStart"/>
      <w:r w:rsidRPr="00D13BEC">
        <w:rPr>
          <w:rFonts w:ascii="Times New Roman" w:eastAsia="Calibri" w:hAnsi="Times New Roman" w:cs="Times New Roman"/>
          <w:bCs/>
          <w:color w:val="1D1D1B"/>
          <w:sz w:val="24"/>
          <w:szCs w:val="24"/>
          <w:bdr w:val="none" w:sz="0" w:space="0" w:color="auto" w:frame="1"/>
          <w:shd w:val="clear" w:color="auto" w:fill="FFFFFF"/>
          <w:lang w:val="uk-UA"/>
        </w:rPr>
        <w:t>впізнаваною</w:t>
      </w:r>
      <w:proofErr w:type="spellEnd"/>
      <w:r w:rsidRPr="00D13BEC">
        <w:rPr>
          <w:rFonts w:ascii="Times New Roman" w:eastAsia="Calibri" w:hAnsi="Times New Roman" w:cs="Times New Roman"/>
          <w:bCs/>
          <w:color w:val="1D1D1B"/>
          <w:sz w:val="24"/>
          <w:szCs w:val="24"/>
          <w:bdr w:val="none" w:sz="0" w:space="0" w:color="auto" w:frame="1"/>
          <w:shd w:val="clear" w:color="auto" w:fill="FFFFFF"/>
          <w:lang w:val="uk-UA"/>
        </w:rPr>
        <w:t xml:space="preserve"> і допоможе побудувати довіру.</w:t>
      </w:r>
    </w:p>
    <w:p w:rsidR="00D13BEC" w:rsidRPr="00D13BEC" w:rsidRDefault="00D13BEC" w:rsidP="00D13BEC">
      <w:pPr>
        <w:numPr>
          <w:ilvl w:val="0"/>
          <w:numId w:val="6"/>
        </w:numPr>
        <w:tabs>
          <w:tab w:val="left" w:pos="993"/>
        </w:tabs>
        <w:spacing w:after="0" w:line="240" w:lineRule="auto"/>
        <w:ind w:left="0" w:firstLine="709"/>
        <w:contextualSpacing/>
        <w:jc w:val="both"/>
        <w:rPr>
          <w:rFonts w:ascii="Times New Roman" w:eastAsia="Calibri" w:hAnsi="Times New Roman" w:cs="Times New Roman"/>
          <w:bCs/>
          <w:color w:val="1D1D1B"/>
          <w:sz w:val="24"/>
          <w:szCs w:val="24"/>
          <w:bdr w:val="none" w:sz="0" w:space="0" w:color="auto" w:frame="1"/>
          <w:shd w:val="clear" w:color="auto" w:fill="FFFFFF"/>
          <w:lang w:val="uk-UA"/>
        </w:rPr>
      </w:pPr>
      <w:r w:rsidRPr="00D13BEC">
        <w:rPr>
          <w:rFonts w:ascii="Times New Roman" w:eastAsia="Calibri" w:hAnsi="Times New Roman" w:cs="Times New Roman"/>
          <w:bCs/>
          <w:color w:val="1D1D1B"/>
          <w:sz w:val="24"/>
          <w:szCs w:val="24"/>
          <w:bdr w:val="none" w:sz="0" w:space="0" w:color="auto" w:frame="1"/>
          <w:shd w:val="clear" w:color="auto" w:fill="FFFFFF"/>
          <w:lang w:val="uk-UA"/>
        </w:rPr>
        <w:t xml:space="preserve">Створення </w:t>
      </w:r>
      <w:proofErr w:type="spellStart"/>
      <w:r w:rsidRPr="00D13BEC">
        <w:rPr>
          <w:rFonts w:ascii="Times New Roman" w:eastAsia="Calibri" w:hAnsi="Times New Roman" w:cs="Times New Roman"/>
          <w:bCs/>
          <w:color w:val="1D1D1B"/>
          <w:sz w:val="24"/>
          <w:szCs w:val="24"/>
          <w:bdr w:val="none" w:sz="0" w:space="0" w:color="auto" w:frame="1"/>
          <w:shd w:val="clear" w:color="auto" w:fill="FFFFFF"/>
          <w:lang w:val="uk-UA"/>
        </w:rPr>
        <w:t>освітньо-інформаційного</w:t>
      </w:r>
      <w:proofErr w:type="spellEnd"/>
      <w:r w:rsidRPr="00D13BEC">
        <w:rPr>
          <w:rFonts w:ascii="Times New Roman" w:eastAsia="Calibri" w:hAnsi="Times New Roman" w:cs="Times New Roman"/>
          <w:bCs/>
          <w:color w:val="1D1D1B"/>
          <w:sz w:val="24"/>
          <w:szCs w:val="24"/>
          <w:bdr w:val="none" w:sz="0" w:space="0" w:color="auto" w:frame="1"/>
          <w:shd w:val="clear" w:color="auto" w:fill="FFFFFF"/>
          <w:lang w:val="uk-UA"/>
        </w:rPr>
        <w:t xml:space="preserve"> центру регіону. </w:t>
      </w:r>
      <w:proofErr w:type="spellStart"/>
      <w:r w:rsidRPr="00D13BEC">
        <w:rPr>
          <w:rFonts w:ascii="Times New Roman" w:eastAsia="Calibri" w:hAnsi="Times New Roman" w:cs="Times New Roman"/>
          <w:bCs/>
          <w:color w:val="1D1D1B"/>
          <w:sz w:val="24"/>
          <w:szCs w:val="24"/>
          <w:bdr w:val="none" w:sz="0" w:space="0" w:color="auto" w:frame="1"/>
          <w:shd w:val="clear" w:color="auto" w:fill="FFFFFF"/>
          <w:lang w:val="uk-UA"/>
        </w:rPr>
        <w:t>Освітньо-інформаційний</w:t>
      </w:r>
      <w:proofErr w:type="spellEnd"/>
      <w:r w:rsidRPr="00D13BEC">
        <w:rPr>
          <w:rFonts w:ascii="Times New Roman" w:eastAsia="Calibri" w:hAnsi="Times New Roman" w:cs="Times New Roman"/>
          <w:bCs/>
          <w:color w:val="1D1D1B"/>
          <w:sz w:val="24"/>
          <w:szCs w:val="24"/>
          <w:bdr w:val="none" w:sz="0" w:space="0" w:color="auto" w:frame="1"/>
          <w:shd w:val="clear" w:color="auto" w:fill="FFFFFF"/>
          <w:lang w:val="uk-UA"/>
        </w:rPr>
        <w:t xml:space="preserve"> центр регіону − центр фінансової просвіти і комунікацій в якому поєднуватимуться: </w:t>
      </w:r>
      <w:proofErr w:type="spellStart"/>
      <w:r w:rsidRPr="00D13BEC">
        <w:rPr>
          <w:rFonts w:ascii="Times New Roman" w:eastAsia="Calibri" w:hAnsi="Times New Roman" w:cs="Times New Roman"/>
          <w:bCs/>
          <w:color w:val="1D1D1B"/>
          <w:sz w:val="24"/>
          <w:szCs w:val="24"/>
          <w:bdr w:val="none" w:sz="0" w:space="0" w:color="auto" w:frame="1"/>
          <w:shd w:val="clear" w:color="auto" w:fill="FFFFFF"/>
          <w:lang w:val="uk-UA"/>
        </w:rPr>
        <w:t>visitor</w:t>
      </w:r>
      <w:proofErr w:type="spellEnd"/>
      <w:r w:rsidRPr="00D13BEC">
        <w:rPr>
          <w:rFonts w:ascii="Times New Roman" w:eastAsia="Calibri" w:hAnsi="Times New Roman" w:cs="Times New Roman"/>
          <w:bCs/>
          <w:color w:val="1D1D1B"/>
          <w:sz w:val="24"/>
          <w:szCs w:val="24"/>
          <w:bdr w:val="none" w:sz="0" w:space="0" w:color="auto" w:frame="1"/>
          <w:shd w:val="clear" w:color="auto" w:fill="FFFFFF"/>
          <w:lang w:val="uk-UA"/>
        </w:rPr>
        <w:t xml:space="preserve"> </w:t>
      </w:r>
      <w:proofErr w:type="spellStart"/>
      <w:r w:rsidRPr="00D13BEC">
        <w:rPr>
          <w:rFonts w:ascii="Times New Roman" w:eastAsia="Calibri" w:hAnsi="Times New Roman" w:cs="Times New Roman"/>
          <w:bCs/>
          <w:color w:val="1D1D1B"/>
          <w:sz w:val="24"/>
          <w:szCs w:val="24"/>
          <w:bdr w:val="none" w:sz="0" w:space="0" w:color="auto" w:frame="1"/>
          <w:shd w:val="clear" w:color="auto" w:fill="FFFFFF"/>
          <w:lang w:val="uk-UA"/>
        </w:rPr>
        <w:t>center</w:t>
      </w:r>
      <w:proofErr w:type="spellEnd"/>
      <w:r w:rsidRPr="00D13BEC">
        <w:rPr>
          <w:rFonts w:ascii="Times New Roman" w:eastAsia="Calibri" w:hAnsi="Times New Roman" w:cs="Times New Roman"/>
          <w:bCs/>
          <w:color w:val="1D1D1B"/>
          <w:sz w:val="24"/>
          <w:szCs w:val="24"/>
          <w:bdr w:val="none" w:sz="0" w:space="0" w:color="auto" w:frame="1"/>
          <w:shd w:val="clear" w:color="auto" w:fill="FFFFFF"/>
          <w:lang w:val="uk-UA"/>
        </w:rPr>
        <w:t>, музей грошей, центр освіти молоді, центр компетенцій вчителів.</w:t>
      </w:r>
    </w:p>
    <w:p w:rsidR="00D13BEC" w:rsidRPr="00D13BEC" w:rsidRDefault="00D13BEC" w:rsidP="00D13BEC">
      <w:pPr>
        <w:spacing w:after="0" w:line="240" w:lineRule="auto"/>
        <w:ind w:firstLine="709"/>
        <w:jc w:val="both"/>
        <w:rPr>
          <w:rFonts w:ascii="Times New Roman" w:eastAsia="Calibri" w:hAnsi="Times New Roman" w:cs="Times New Roman"/>
          <w:bCs/>
          <w:color w:val="1D1D1B"/>
          <w:sz w:val="24"/>
          <w:szCs w:val="24"/>
          <w:bdr w:val="none" w:sz="0" w:space="0" w:color="auto" w:frame="1"/>
          <w:shd w:val="clear" w:color="auto" w:fill="FFFFFF"/>
          <w:lang w:val="uk-UA"/>
        </w:rPr>
      </w:pPr>
      <w:r w:rsidRPr="00D13BEC">
        <w:rPr>
          <w:rFonts w:ascii="Times New Roman" w:eastAsia="Calibri" w:hAnsi="Times New Roman" w:cs="Times New Roman"/>
          <w:bCs/>
          <w:color w:val="1D1D1B"/>
          <w:sz w:val="24"/>
          <w:szCs w:val="24"/>
          <w:bdr w:val="none" w:sz="0" w:space="0" w:color="auto" w:frame="1"/>
          <w:shd w:val="clear" w:color="auto" w:fill="FFFFFF"/>
          <w:lang w:val="uk-UA"/>
        </w:rPr>
        <w:t xml:space="preserve">Робота над підвищенням рівня фінансової інклюзії регіону та фінансової грамотності є довгостроковою, тому вимагає координації та взаємодії різних </w:t>
      </w:r>
      <w:proofErr w:type="spellStart"/>
      <w:r w:rsidRPr="00D13BEC">
        <w:rPr>
          <w:rFonts w:ascii="Times New Roman" w:eastAsia="Calibri" w:hAnsi="Times New Roman" w:cs="Times New Roman"/>
          <w:bCs/>
          <w:color w:val="1D1D1B"/>
          <w:sz w:val="24"/>
          <w:szCs w:val="24"/>
          <w:bdr w:val="none" w:sz="0" w:space="0" w:color="auto" w:frame="1"/>
          <w:shd w:val="clear" w:color="auto" w:fill="FFFFFF"/>
          <w:lang w:val="uk-UA"/>
        </w:rPr>
        <w:t>стейкхолдерів</w:t>
      </w:r>
      <w:proofErr w:type="spellEnd"/>
      <w:r w:rsidRPr="00D13BEC">
        <w:rPr>
          <w:rFonts w:ascii="Times New Roman" w:eastAsia="Calibri" w:hAnsi="Times New Roman" w:cs="Times New Roman"/>
          <w:bCs/>
          <w:color w:val="1D1D1B"/>
          <w:sz w:val="24"/>
          <w:szCs w:val="24"/>
          <w:bdr w:val="none" w:sz="0" w:space="0" w:color="auto" w:frame="1"/>
          <w:shd w:val="clear" w:color="auto" w:fill="FFFFFF"/>
          <w:lang w:val="uk-UA"/>
        </w:rPr>
        <w:t xml:space="preserve"> та партнерів для досягнення поставлених цілей. Так починаючи з 2019 року в Україні розпочато процес впровадження дорожньої карти, результатом якої має стати впровадження усіх розроблених шляхів саме у 2020 році</w:t>
      </w:r>
      <w:r w:rsidR="00B668BA">
        <w:rPr>
          <w:rFonts w:ascii="Times New Roman" w:eastAsia="Calibri" w:hAnsi="Times New Roman" w:cs="Times New Roman"/>
          <w:bCs/>
          <w:color w:val="1D1D1B"/>
          <w:sz w:val="24"/>
          <w:szCs w:val="24"/>
          <w:bdr w:val="none" w:sz="0" w:space="0" w:color="auto" w:frame="1"/>
          <w:shd w:val="clear" w:color="auto" w:fill="FFFFFF"/>
          <w:lang w:val="uk-UA"/>
        </w:rPr>
        <w:t xml:space="preserve"> </w:t>
      </w:r>
      <w:r w:rsidR="00B668BA" w:rsidRPr="00D13BEC">
        <w:rPr>
          <w:rFonts w:ascii="Times New Roman" w:eastAsia="Calibri" w:hAnsi="Times New Roman" w:cs="Times New Roman"/>
          <w:sz w:val="24"/>
          <w:szCs w:val="24"/>
          <w:lang w:val="uk-UA"/>
        </w:rPr>
        <w:t>[</w:t>
      </w:r>
      <w:r w:rsidR="00096B2A">
        <w:rPr>
          <w:rFonts w:ascii="Times New Roman" w:eastAsia="Calibri" w:hAnsi="Times New Roman" w:cs="Times New Roman"/>
          <w:sz w:val="24"/>
          <w:szCs w:val="24"/>
          <w:lang w:val="uk-UA"/>
        </w:rPr>
        <w:t>5</w:t>
      </w:r>
      <w:r w:rsidR="00B668BA" w:rsidRPr="00D13BEC">
        <w:rPr>
          <w:rFonts w:ascii="Times New Roman" w:eastAsia="Calibri" w:hAnsi="Times New Roman" w:cs="Times New Roman"/>
          <w:sz w:val="24"/>
          <w:szCs w:val="24"/>
          <w:lang w:val="uk-UA"/>
        </w:rPr>
        <w:t>].</w:t>
      </w:r>
    </w:p>
    <w:p w:rsidR="00D13BEC" w:rsidRPr="00D13BEC" w:rsidRDefault="00D13BEC" w:rsidP="00D13BEC">
      <w:pPr>
        <w:spacing w:after="0" w:line="240" w:lineRule="auto"/>
        <w:ind w:firstLine="709"/>
        <w:jc w:val="both"/>
        <w:rPr>
          <w:rFonts w:ascii="Times New Roman" w:eastAsia="Calibri" w:hAnsi="Times New Roman" w:cs="Times New Roman"/>
          <w:bCs/>
          <w:color w:val="1D1D1B"/>
          <w:sz w:val="24"/>
          <w:szCs w:val="24"/>
          <w:bdr w:val="none" w:sz="0" w:space="0" w:color="auto" w:frame="1"/>
          <w:shd w:val="clear" w:color="auto" w:fill="FFFFFF"/>
          <w:lang w:val="uk-UA"/>
        </w:rPr>
      </w:pPr>
      <w:r w:rsidRPr="00D13BEC">
        <w:rPr>
          <w:rFonts w:ascii="Times New Roman" w:eastAsia="Calibri" w:hAnsi="Times New Roman" w:cs="Times New Roman"/>
          <w:bCs/>
          <w:color w:val="1D1D1B"/>
          <w:sz w:val="24"/>
          <w:szCs w:val="24"/>
          <w:bdr w:val="none" w:sz="0" w:space="0" w:color="auto" w:frame="1"/>
          <w:shd w:val="clear" w:color="auto" w:fill="FFFFFF"/>
          <w:lang w:val="uk-UA"/>
        </w:rPr>
        <w:t>Робота над підвищенням рівня фінансової інклюзії та фінансової грамотності є довгостроковою. Вона має базуватися не тільки на державному рівні та визначенні кількість сервісних фінансових установ, а найголовнішою її метою є розповсюдження та задоволення регіонального рівня фінансових послуг. Вони мають стати доступними, простими у сприйнятті, зрозумілими та прозорими. На сьогодні однією із причин невикористання фінансової інклюзії в регіоні є  недовіра та незрозумілість фінансових послуг населенням. Варто побудувати більш прості механізми надання цих послуг (рис.4).</w:t>
      </w:r>
    </w:p>
    <w:p w:rsidR="00D13BEC" w:rsidRPr="00D13BEC" w:rsidRDefault="00D13BEC" w:rsidP="00D13BEC">
      <w:pPr>
        <w:spacing w:after="0" w:line="240" w:lineRule="auto"/>
        <w:jc w:val="center"/>
        <w:rPr>
          <w:rFonts w:ascii="Times New Roman" w:eastAsia="Calibri" w:hAnsi="Times New Roman" w:cs="Times New Roman"/>
          <w:bCs/>
          <w:color w:val="1D1D1B"/>
          <w:sz w:val="24"/>
          <w:szCs w:val="24"/>
          <w:bdr w:val="none" w:sz="0" w:space="0" w:color="auto" w:frame="1"/>
          <w:shd w:val="clear" w:color="auto" w:fill="FFFFFF"/>
          <w:lang w:val="uk-UA"/>
        </w:rPr>
      </w:pPr>
      <w:r w:rsidRPr="00D13BEC">
        <w:rPr>
          <w:rFonts w:ascii="Times New Roman" w:eastAsia="Calibri" w:hAnsi="Times New Roman" w:cs="Times New Roman"/>
          <w:bCs/>
          <w:noProof/>
          <w:color w:val="1D1D1B"/>
          <w:sz w:val="24"/>
          <w:szCs w:val="24"/>
          <w:bdr w:val="none" w:sz="0" w:space="0" w:color="auto" w:frame="1"/>
          <w:shd w:val="clear" w:color="auto" w:fill="FFFFFF"/>
          <w:lang w:eastAsia="ru-RU"/>
        </w:rPr>
        <w:drawing>
          <wp:inline distT="0" distB="0" distL="0" distR="0" wp14:anchorId="312377C8" wp14:editId="38B6EF9A">
            <wp:extent cx="6120882" cy="223001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2229742"/>
                    </a:xfrm>
                    <a:prstGeom prst="rect">
                      <a:avLst/>
                    </a:prstGeom>
                    <a:noFill/>
                    <a:ln>
                      <a:noFill/>
                    </a:ln>
                  </pic:spPr>
                </pic:pic>
              </a:graphicData>
            </a:graphic>
          </wp:inline>
        </w:drawing>
      </w:r>
    </w:p>
    <w:p w:rsidR="00D13BEC" w:rsidRPr="00D13BEC" w:rsidRDefault="00D13BEC" w:rsidP="00D13BEC">
      <w:pPr>
        <w:spacing w:after="0" w:line="240" w:lineRule="auto"/>
        <w:ind w:firstLine="709"/>
        <w:jc w:val="center"/>
        <w:rPr>
          <w:rFonts w:ascii="Times New Roman" w:eastAsia="Calibri" w:hAnsi="Times New Roman" w:cs="Times New Roman"/>
          <w:bCs/>
          <w:color w:val="1D1D1B"/>
          <w:sz w:val="24"/>
          <w:szCs w:val="24"/>
          <w:bdr w:val="none" w:sz="0" w:space="0" w:color="auto" w:frame="1"/>
          <w:shd w:val="clear" w:color="auto" w:fill="FFFFFF"/>
          <w:lang w:val="uk-UA"/>
        </w:rPr>
      </w:pPr>
      <w:r w:rsidRPr="00D13BEC">
        <w:rPr>
          <w:rFonts w:ascii="Times New Roman" w:eastAsia="Calibri" w:hAnsi="Times New Roman" w:cs="Times New Roman"/>
          <w:bCs/>
          <w:color w:val="1D1D1B"/>
          <w:sz w:val="24"/>
          <w:szCs w:val="24"/>
          <w:bdr w:val="none" w:sz="0" w:space="0" w:color="auto" w:frame="1"/>
          <w:shd w:val="clear" w:color="auto" w:fill="FFFFFF"/>
          <w:lang w:val="uk-UA"/>
        </w:rPr>
        <w:t>Рис.</w:t>
      </w:r>
      <w:r>
        <w:rPr>
          <w:rFonts w:ascii="Times New Roman" w:eastAsia="Calibri" w:hAnsi="Times New Roman" w:cs="Times New Roman"/>
          <w:bCs/>
          <w:color w:val="1D1D1B"/>
          <w:sz w:val="24"/>
          <w:szCs w:val="24"/>
          <w:bdr w:val="none" w:sz="0" w:space="0" w:color="auto" w:frame="1"/>
          <w:shd w:val="clear" w:color="auto" w:fill="FFFFFF"/>
          <w:lang w:val="uk-UA"/>
        </w:rPr>
        <w:t>2</w:t>
      </w:r>
      <w:r w:rsidRPr="00D13BEC">
        <w:rPr>
          <w:rFonts w:ascii="Times New Roman" w:eastAsia="Calibri" w:hAnsi="Times New Roman" w:cs="Times New Roman"/>
          <w:bCs/>
          <w:color w:val="1D1D1B"/>
          <w:sz w:val="24"/>
          <w:szCs w:val="24"/>
          <w:bdr w:val="none" w:sz="0" w:space="0" w:color="auto" w:frame="1"/>
          <w:shd w:val="clear" w:color="auto" w:fill="FFFFFF"/>
          <w:lang w:val="uk-UA"/>
        </w:rPr>
        <w:t xml:space="preserve">. Доступна схема процесу надання фінансових послуг для населення регіонів України </w:t>
      </w:r>
    </w:p>
    <w:p w:rsidR="00096B2A" w:rsidRDefault="00096B2A" w:rsidP="00D13BEC">
      <w:pPr>
        <w:spacing w:after="0" w:line="240" w:lineRule="auto"/>
        <w:ind w:firstLine="567"/>
        <w:jc w:val="both"/>
        <w:rPr>
          <w:rFonts w:ascii="Times New Roman" w:eastAsia="Calibri" w:hAnsi="Times New Roman" w:cs="Times New Roman"/>
          <w:bCs/>
          <w:color w:val="1D1D1B"/>
          <w:sz w:val="24"/>
          <w:szCs w:val="24"/>
          <w:bdr w:val="none" w:sz="0" w:space="0" w:color="auto" w:frame="1"/>
          <w:shd w:val="clear" w:color="auto" w:fill="FFFFFF"/>
          <w:lang w:val="uk-UA"/>
        </w:rPr>
      </w:pPr>
    </w:p>
    <w:p w:rsidR="00D13BEC" w:rsidRPr="00D13BEC" w:rsidRDefault="00D13BEC" w:rsidP="00D13BEC">
      <w:pPr>
        <w:spacing w:after="0" w:line="240" w:lineRule="auto"/>
        <w:ind w:firstLine="567"/>
        <w:jc w:val="both"/>
        <w:rPr>
          <w:rFonts w:ascii="Times New Roman" w:eastAsia="Calibri" w:hAnsi="Times New Roman" w:cs="Times New Roman"/>
          <w:color w:val="1D1D1B"/>
          <w:sz w:val="24"/>
          <w:szCs w:val="24"/>
          <w:shd w:val="clear" w:color="auto" w:fill="FFFFFF"/>
          <w:lang w:val="uk-UA"/>
        </w:rPr>
      </w:pPr>
      <w:r w:rsidRPr="00D13BEC">
        <w:rPr>
          <w:rFonts w:ascii="Times New Roman" w:eastAsia="Calibri" w:hAnsi="Times New Roman" w:cs="Times New Roman"/>
          <w:bCs/>
          <w:color w:val="1D1D1B"/>
          <w:sz w:val="24"/>
          <w:szCs w:val="24"/>
          <w:bdr w:val="none" w:sz="0" w:space="0" w:color="auto" w:frame="1"/>
          <w:shd w:val="clear" w:color="auto" w:fill="FFFFFF"/>
          <w:lang w:val="uk-UA"/>
        </w:rPr>
        <w:t>З метою розширення фінансової інклюзії</w:t>
      </w:r>
      <w:r w:rsidRPr="00D13BEC">
        <w:rPr>
          <w:rFonts w:ascii="Times New Roman" w:eastAsia="Calibri" w:hAnsi="Times New Roman" w:cs="Times New Roman"/>
          <w:color w:val="1D1D1B"/>
          <w:sz w:val="24"/>
          <w:szCs w:val="24"/>
          <w:shd w:val="clear" w:color="auto" w:fill="FFFFFF"/>
          <w:lang w:val="uk-UA"/>
        </w:rPr>
        <w:t xml:space="preserve"> будуть упроваджені стандарти ринкової поведінки </w:t>
      </w:r>
      <w:proofErr w:type="spellStart"/>
      <w:r w:rsidRPr="00D13BEC">
        <w:rPr>
          <w:rFonts w:ascii="Times New Roman" w:eastAsia="Calibri" w:hAnsi="Times New Roman" w:cs="Times New Roman"/>
          <w:color w:val="1D1D1B"/>
          <w:sz w:val="24"/>
          <w:szCs w:val="24"/>
          <w:shd w:val="clear" w:color="auto" w:fill="FFFFFF"/>
          <w:lang w:val="uk-UA"/>
        </w:rPr>
        <w:t>фінустанов</w:t>
      </w:r>
      <w:proofErr w:type="spellEnd"/>
      <w:r w:rsidRPr="00D13BEC">
        <w:rPr>
          <w:rFonts w:ascii="Times New Roman" w:eastAsia="Calibri" w:hAnsi="Times New Roman" w:cs="Times New Roman"/>
          <w:color w:val="1D1D1B"/>
          <w:sz w:val="24"/>
          <w:szCs w:val="24"/>
          <w:shd w:val="clear" w:color="auto" w:fill="FFFFFF"/>
          <w:lang w:val="uk-UA"/>
        </w:rPr>
        <w:t xml:space="preserve"> і розкриття інформації про фінансові продукти, активізовані цільові програми для підвищення фінансової грамотності населення, а також буде посилено захист прав споживачів, створено стимули для розвитку платіжної інфраструктури для безготівкових операцій, розширено і вдосконалено систему гарантування вкладів тощо.</w:t>
      </w:r>
    </w:p>
    <w:p w:rsidR="00FF7605" w:rsidRPr="00D13BEC" w:rsidRDefault="00FF7605" w:rsidP="001B6265">
      <w:pPr>
        <w:spacing w:after="0" w:line="240" w:lineRule="auto"/>
        <w:ind w:firstLine="709"/>
        <w:jc w:val="both"/>
        <w:rPr>
          <w:rFonts w:ascii="Times New Roman" w:hAnsi="Times New Roman" w:cs="Times New Roman"/>
          <w:sz w:val="24"/>
          <w:szCs w:val="24"/>
          <w:lang w:val="uk-UA"/>
        </w:rPr>
      </w:pPr>
    </w:p>
    <w:p w:rsidR="00AA4184" w:rsidRPr="00D13BEC" w:rsidRDefault="000B06BE" w:rsidP="000B06BE">
      <w:pPr>
        <w:spacing w:after="0" w:line="240" w:lineRule="auto"/>
        <w:ind w:firstLine="709"/>
        <w:jc w:val="center"/>
        <w:rPr>
          <w:rFonts w:ascii="Times New Roman" w:hAnsi="Times New Roman" w:cs="Times New Roman"/>
          <w:b/>
          <w:sz w:val="24"/>
          <w:szCs w:val="24"/>
          <w:lang w:val="uk-UA"/>
        </w:rPr>
      </w:pPr>
      <w:r w:rsidRPr="00D13BEC">
        <w:rPr>
          <w:rFonts w:ascii="Times New Roman" w:hAnsi="Times New Roman" w:cs="Times New Roman"/>
          <w:b/>
          <w:sz w:val="24"/>
          <w:szCs w:val="24"/>
          <w:lang w:val="uk-UA"/>
        </w:rPr>
        <w:t>Список використаних джерел</w:t>
      </w:r>
    </w:p>
    <w:p w:rsidR="00D13BEC" w:rsidRPr="00D13BEC" w:rsidRDefault="00D13BEC" w:rsidP="00D13BEC">
      <w:pPr>
        <w:pStyle w:val="a3"/>
        <w:numPr>
          <w:ilvl w:val="0"/>
          <w:numId w:val="3"/>
        </w:numPr>
        <w:spacing w:after="0" w:line="240" w:lineRule="auto"/>
        <w:ind w:left="0" w:firstLine="397"/>
        <w:jc w:val="both"/>
        <w:rPr>
          <w:rFonts w:ascii="Times New Roman" w:hAnsi="Times New Roman" w:cs="Times New Roman"/>
          <w:color w:val="000000" w:themeColor="text1"/>
          <w:sz w:val="24"/>
          <w:szCs w:val="24"/>
          <w:lang w:val="uk-UA"/>
        </w:rPr>
      </w:pPr>
      <w:proofErr w:type="spellStart"/>
      <w:r w:rsidRPr="00D13BEC">
        <w:rPr>
          <w:rFonts w:ascii="Times New Roman" w:hAnsi="Times New Roman" w:cs="Times New Roman"/>
          <w:color w:val="000000" w:themeColor="text1"/>
          <w:sz w:val="24"/>
          <w:szCs w:val="24"/>
          <w:lang w:val="uk-UA"/>
        </w:rPr>
        <w:t>Єгоричева</w:t>
      </w:r>
      <w:proofErr w:type="spellEnd"/>
      <w:r w:rsidRPr="00D13BEC">
        <w:rPr>
          <w:rFonts w:ascii="Times New Roman" w:hAnsi="Times New Roman" w:cs="Times New Roman"/>
          <w:color w:val="000000" w:themeColor="text1"/>
          <w:sz w:val="24"/>
          <w:szCs w:val="24"/>
          <w:lang w:val="uk-UA"/>
        </w:rPr>
        <w:t xml:space="preserve"> С.Б. Фінансова інклюзія в рамках системи протидії легалізації злочинних доходів та фінансуванню тероризму / С.Б.</w:t>
      </w:r>
      <w:proofErr w:type="spellStart"/>
      <w:r w:rsidRPr="00D13BEC">
        <w:rPr>
          <w:rFonts w:ascii="Times New Roman" w:hAnsi="Times New Roman" w:cs="Times New Roman"/>
          <w:color w:val="000000" w:themeColor="text1"/>
          <w:sz w:val="24"/>
          <w:szCs w:val="24"/>
          <w:lang w:val="uk-UA"/>
        </w:rPr>
        <w:t>Єгоричева</w:t>
      </w:r>
      <w:proofErr w:type="spellEnd"/>
      <w:r w:rsidRPr="00D13BEC">
        <w:rPr>
          <w:rFonts w:ascii="Times New Roman" w:hAnsi="Times New Roman" w:cs="Times New Roman"/>
          <w:color w:val="000000" w:themeColor="text1"/>
          <w:sz w:val="24"/>
          <w:szCs w:val="24"/>
          <w:lang w:val="uk-UA"/>
        </w:rPr>
        <w:t>// Фінансовий простір 2018 № 4 (32). – С.80-87.</w:t>
      </w:r>
    </w:p>
    <w:p w:rsidR="00D13BEC" w:rsidRPr="00D13BEC" w:rsidRDefault="00D13BEC" w:rsidP="00D13BEC">
      <w:pPr>
        <w:pStyle w:val="a3"/>
        <w:numPr>
          <w:ilvl w:val="0"/>
          <w:numId w:val="3"/>
        </w:numPr>
        <w:spacing w:after="0" w:line="240" w:lineRule="auto"/>
        <w:ind w:left="0" w:firstLine="397"/>
        <w:jc w:val="both"/>
        <w:rPr>
          <w:rFonts w:ascii="Times New Roman" w:hAnsi="Times New Roman" w:cs="Times New Roman"/>
          <w:color w:val="000000" w:themeColor="text1"/>
          <w:sz w:val="24"/>
          <w:szCs w:val="24"/>
          <w:lang w:val="uk-UA"/>
        </w:rPr>
      </w:pPr>
      <w:proofErr w:type="spellStart"/>
      <w:r w:rsidRPr="00D13BEC">
        <w:rPr>
          <w:rFonts w:ascii="Times New Roman" w:hAnsi="Times New Roman" w:cs="Times New Roman"/>
          <w:color w:val="000000" w:themeColor="text1"/>
          <w:sz w:val="24"/>
          <w:szCs w:val="24"/>
          <w:lang w:val="uk-UA"/>
        </w:rPr>
        <w:t>Марущак</w:t>
      </w:r>
      <w:proofErr w:type="spellEnd"/>
      <w:r w:rsidRPr="00D13BEC">
        <w:rPr>
          <w:rFonts w:ascii="Times New Roman" w:hAnsi="Times New Roman" w:cs="Times New Roman"/>
          <w:color w:val="000000" w:themeColor="text1"/>
          <w:sz w:val="24"/>
          <w:szCs w:val="24"/>
          <w:lang w:val="uk-UA"/>
        </w:rPr>
        <w:t xml:space="preserve"> А. В., </w:t>
      </w:r>
      <w:proofErr w:type="spellStart"/>
      <w:r w:rsidRPr="00D13BEC">
        <w:rPr>
          <w:rFonts w:ascii="Times New Roman" w:hAnsi="Times New Roman" w:cs="Times New Roman"/>
          <w:color w:val="000000" w:themeColor="text1"/>
          <w:sz w:val="24"/>
          <w:szCs w:val="24"/>
          <w:lang w:val="uk-UA"/>
        </w:rPr>
        <w:t>Латковський</w:t>
      </w:r>
      <w:proofErr w:type="spellEnd"/>
      <w:r w:rsidRPr="00D13BEC">
        <w:rPr>
          <w:rFonts w:ascii="Times New Roman" w:hAnsi="Times New Roman" w:cs="Times New Roman"/>
          <w:color w:val="000000" w:themeColor="text1"/>
          <w:sz w:val="24"/>
          <w:szCs w:val="24"/>
          <w:lang w:val="uk-UA"/>
        </w:rPr>
        <w:t xml:space="preserve"> П.П. Фінансова інклюзія як напрям розвитку фінансового сектору </w:t>
      </w:r>
      <w:proofErr w:type="spellStart"/>
      <w:r w:rsidRPr="00D13BEC">
        <w:rPr>
          <w:rFonts w:ascii="Times New Roman" w:hAnsi="Times New Roman" w:cs="Times New Roman"/>
          <w:color w:val="000000" w:themeColor="text1"/>
          <w:sz w:val="24"/>
          <w:szCs w:val="24"/>
          <w:lang w:val="uk-UA"/>
        </w:rPr>
        <w:t>україни</w:t>
      </w:r>
      <w:proofErr w:type="spellEnd"/>
      <w:r w:rsidRPr="00D13BEC">
        <w:rPr>
          <w:rFonts w:ascii="Times New Roman" w:hAnsi="Times New Roman" w:cs="Times New Roman"/>
          <w:color w:val="000000" w:themeColor="text1"/>
          <w:sz w:val="24"/>
          <w:szCs w:val="24"/>
          <w:lang w:val="uk-UA"/>
        </w:rPr>
        <w:t xml:space="preserve"> [Електронний ресурс]/ Міжнародна науково-практична конференція «DIE WICHTIGSTEN VEKTOREN FÜR DIE ENTWICKLUNG DER WISSENSCHAFT IM JAHR 2020»,  24.01.2020, Люксембург, LUX// Режим доступу: </w:t>
      </w:r>
      <w:hyperlink r:id="rId9" w:history="1">
        <w:r w:rsidRPr="00096B2A">
          <w:rPr>
            <w:rFonts w:ascii="Times New Roman" w:hAnsi="Times New Roman" w:cs="Times New Roman"/>
            <w:color w:val="000000" w:themeColor="text1"/>
            <w:sz w:val="24"/>
            <w:szCs w:val="24"/>
            <w:lang w:val="uk-UA"/>
          </w:rPr>
          <w:t>https</w:t>
        </w:r>
        <w:r w:rsidRPr="00096B2A">
          <w:rPr>
            <w:rFonts w:ascii="Times New Roman" w:hAnsi="Times New Roman" w:cs="Times New Roman"/>
            <w:color w:val="000000" w:themeColor="text1"/>
            <w:sz w:val="24"/>
            <w:szCs w:val="24"/>
          </w:rPr>
          <w:t>://</w:t>
        </w:r>
        <w:r w:rsidRPr="00096B2A">
          <w:rPr>
            <w:rFonts w:ascii="Times New Roman" w:hAnsi="Times New Roman" w:cs="Times New Roman"/>
            <w:color w:val="000000" w:themeColor="text1"/>
            <w:sz w:val="24"/>
            <w:szCs w:val="24"/>
            <w:lang w:val="uk-UA"/>
          </w:rPr>
          <w:t>ojs</w:t>
        </w:r>
        <w:r w:rsidRPr="00096B2A">
          <w:rPr>
            <w:rFonts w:ascii="Times New Roman" w:hAnsi="Times New Roman" w:cs="Times New Roman"/>
            <w:color w:val="000000" w:themeColor="text1"/>
            <w:sz w:val="24"/>
            <w:szCs w:val="24"/>
          </w:rPr>
          <w:t>.</w:t>
        </w:r>
        <w:r w:rsidRPr="00096B2A">
          <w:rPr>
            <w:rFonts w:ascii="Times New Roman" w:hAnsi="Times New Roman" w:cs="Times New Roman"/>
            <w:color w:val="000000" w:themeColor="text1"/>
            <w:sz w:val="24"/>
            <w:szCs w:val="24"/>
            <w:lang w:val="uk-UA"/>
          </w:rPr>
          <w:t>ukrlogos</w:t>
        </w:r>
        <w:r w:rsidRPr="00096B2A">
          <w:rPr>
            <w:rFonts w:ascii="Times New Roman" w:hAnsi="Times New Roman" w:cs="Times New Roman"/>
            <w:color w:val="000000" w:themeColor="text1"/>
            <w:sz w:val="24"/>
            <w:szCs w:val="24"/>
          </w:rPr>
          <w:t>.</w:t>
        </w:r>
        <w:r w:rsidRPr="00096B2A">
          <w:rPr>
            <w:rFonts w:ascii="Times New Roman" w:hAnsi="Times New Roman" w:cs="Times New Roman"/>
            <w:color w:val="000000" w:themeColor="text1"/>
            <w:sz w:val="24"/>
            <w:szCs w:val="24"/>
            <w:lang w:val="uk-UA"/>
          </w:rPr>
          <w:t>in</w:t>
        </w:r>
        <w:r w:rsidRPr="00096B2A">
          <w:rPr>
            <w:rFonts w:ascii="Times New Roman" w:hAnsi="Times New Roman" w:cs="Times New Roman"/>
            <w:color w:val="000000" w:themeColor="text1"/>
            <w:sz w:val="24"/>
            <w:szCs w:val="24"/>
          </w:rPr>
          <w:t>.</w:t>
        </w:r>
        <w:r w:rsidRPr="00096B2A">
          <w:rPr>
            <w:rFonts w:ascii="Times New Roman" w:hAnsi="Times New Roman" w:cs="Times New Roman"/>
            <w:color w:val="000000" w:themeColor="text1"/>
            <w:sz w:val="24"/>
            <w:szCs w:val="24"/>
            <w:lang w:val="uk-UA"/>
          </w:rPr>
          <w:t>ua</w:t>
        </w:r>
        <w:r w:rsidRPr="00096B2A">
          <w:rPr>
            <w:rFonts w:ascii="Times New Roman" w:hAnsi="Times New Roman" w:cs="Times New Roman"/>
            <w:color w:val="000000" w:themeColor="text1"/>
            <w:sz w:val="24"/>
            <w:szCs w:val="24"/>
          </w:rPr>
          <w:t>/</w:t>
        </w:r>
        <w:r w:rsidRPr="00096B2A">
          <w:rPr>
            <w:rFonts w:ascii="Times New Roman" w:hAnsi="Times New Roman" w:cs="Times New Roman"/>
            <w:color w:val="000000" w:themeColor="text1"/>
            <w:sz w:val="24"/>
            <w:szCs w:val="24"/>
            <w:lang w:val="uk-UA"/>
          </w:rPr>
          <w:t>index</w:t>
        </w:r>
        <w:r w:rsidRPr="00096B2A">
          <w:rPr>
            <w:rFonts w:ascii="Times New Roman" w:hAnsi="Times New Roman" w:cs="Times New Roman"/>
            <w:color w:val="000000" w:themeColor="text1"/>
            <w:sz w:val="24"/>
            <w:szCs w:val="24"/>
          </w:rPr>
          <w:t xml:space="preserve">. </w:t>
        </w:r>
        <w:proofErr w:type="spellStart"/>
        <w:r w:rsidRPr="00096B2A">
          <w:rPr>
            <w:rFonts w:ascii="Times New Roman" w:hAnsi="Times New Roman" w:cs="Times New Roman"/>
            <w:color w:val="000000" w:themeColor="text1"/>
            <w:sz w:val="24"/>
            <w:szCs w:val="24"/>
            <w:lang w:val="uk-UA"/>
          </w:rPr>
          <w:t>php</w:t>
        </w:r>
        <w:proofErr w:type="spellEnd"/>
        <w:r w:rsidRPr="00096B2A">
          <w:rPr>
            <w:rFonts w:ascii="Times New Roman" w:hAnsi="Times New Roman" w:cs="Times New Roman"/>
            <w:color w:val="000000" w:themeColor="text1"/>
            <w:sz w:val="24"/>
            <w:szCs w:val="24"/>
          </w:rPr>
          <w:t>/</w:t>
        </w:r>
        <w:proofErr w:type="spellStart"/>
        <w:r w:rsidRPr="00096B2A">
          <w:rPr>
            <w:rFonts w:ascii="Times New Roman" w:hAnsi="Times New Roman" w:cs="Times New Roman"/>
            <w:color w:val="000000" w:themeColor="text1"/>
            <w:sz w:val="24"/>
            <w:szCs w:val="24"/>
            <w:lang w:val="uk-UA"/>
          </w:rPr>
          <w:t>logos</w:t>
        </w:r>
        <w:proofErr w:type="spellEnd"/>
        <w:r w:rsidRPr="00096B2A">
          <w:rPr>
            <w:rFonts w:ascii="Times New Roman" w:hAnsi="Times New Roman" w:cs="Times New Roman"/>
            <w:color w:val="000000" w:themeColor="text1"/>
            <w:sz w:val="24"/>
            <w:szCs w:val="24"/>
          </w:rPr>
          <w:t>/</w:t>
        </w:r>
        <w:proofErr w:type="spellStart"/>
        <w:r w:rsidRPr="00096B2A">
          <w:rPr>
            <w:rFonts w:ascii="Times New Roman" w:hAnsi="Times New Roman" w:cs="Times New Roman"/>
            <w:color w:val="000000" w:themeColor="text1"/>
            <w:sz w:val="24"/>
            <w:szCs w:val="24"/>
            <w:lang w:val="uk-UA"/>
          </w:rPr>
          <w:t>index</w:t>
        </w:r>
        <w:proofErr w:type="spellEnd"/>
      </w:hyperlink>
      <w:r w:rsidRPr="00096B2A">
        <w:rPr>
          <w:rFonts w:ascii="Times New Roman" w:hAnsi="Times New Roman" w:cs="Times New Roman"/>
          <w:color w:val="000000" w:themeColor="text1"/>
          <w:sz w:val="24"/>
          <w:szCs w:val="24"/>
          <w:lang w:val="uk-UA"/>
        </w:rPr>
        <w:t>.</w:t>
      </w:r>
    </w:p>
    <w:p w:rsidR="00D13BEC" w:rsidRDefault="00D13BEC" w:rsidP="00D13BEC">
      <w:pPr>
        <w:pStyle w:val="a3"/>
        <w:numPr>
          <w:ilvl w:val="0"/>
          <w:numId w:val="3"/>
        </w:numPr>
        <w:spacing w:after="0" w:line="240" w:lineRule="auto"/>
        <w:ind w:left="0" w:firstLine="397"/>
        <w:jc w:val="both"/>
        <w:rPr>
          <w:rFonts w:ascii="Times New Roman" w:hAnsi="Times New Roman" w:cs="Times New Roman"/>
          <w:color w:val="000000" w:themeColor="text1"/>
          <w:sz w:val="24"/>
          <w:szCs w:val="24"/>
          <w:lang w:val="uk-UA"/>
        </w:rPr>
      </w:pPr>
      <w:r w:rsidRPr="00D13BEC">
        <w:rPr>
          <w:rFonts w:ascii="Times New Roman" w:hAnsi="Times New Roman" w:cs="Times New Roman"/>
          <w:color w:val="000000" w:themeColor="text1"/>
          <w:sz w:val="24"/>
          <w:szCs w:val="24"/>
          <w:lang w:val="uk-UA"/>
        </w:rPr>
        <w:lastRenderedPageBreak/>
        <w:t xml:space="preserve">Стратегія розвитку фінансового сектору України до 2025 року [Електронний ресурс]. − Режим доступу: </w:t>
      </w:r>
      <w:hyperlink r:id="rId10" w:history="1">
        <w:r w:rsidRPr="00D13BEC">
          <w:rPr>
            <w:rFonts w:ascii="Times New Roman" w:hAnsi="Times New Roman" w:cs="Times New Roman"/>
            <w:color w:val="000000" w:themeColor="text1"/>
            <w:sz w:val="24"/>
            <w:szCs w:val="24"/>
            <w:lang w:val="uk-UA"/>
          </w:rPr>
          <w:t>https://bank.gov.ua/news/all/regulyatori-finansovogo-rinku-zatverdili-strategiyu-rozvitku-finansovogo-sektoru-ukrayini-do-2025-roku</w:t>
        </w:r>
      </w:hyperlink>
      <w:r>
        <w:rPr>
          <w:rFonts w:ascii="Times New Roman" w:hAnsi="Times New Roman" w:cs="Times New Roman"/>
          <w:color w:val="000000" w:themeColor="text1"/>
          <w:sz w:val="24"/>
          <w:szCs w:val="24"/>
          <w:lang w:val="uk-UA"/>
        </w:rPr>
        <w:t>.</w:t>
      </w:r>
    </w:p>
    <w:p w:rsidR="00096B2A" w:rsidRDefault="00096B2A" w:rsidP="00096B2A">
      <w:pPr>
        <w:pStyle w:val="a3"/>
        <w:numPr>
          <w:ilvl w:val="0"/>
          <w:numId w:val="3"/>
        </w:numPr>
        <w:spacing w:after="0" w:line="240" w:lineRule="auto"/>
        <w:ind w:left="0" w:firstLine="397"/>
        <w:jc w:val="both"/>
        <w:rPr>
          <w:rFonts w:ascii="Times New Roman" w:hAnsi="Times New Roman" w:cs="Times New Roman"/>
          <w:color w:val="000000" w:themeColor="text1"/>
          <w:sz w:val="24"/>
          <w:szCs w:val="24"/>
          <w:lang w:val="uk-UA"/>
        </w:rPr>
      </w:pPr>
      <w:r w:rsidRPr="00096B2A">
        <w:rPr>
          <w:rFonts w:ascii="Times New Roman" w:hAnsi="Times New Roman" w:cs="Times New Roman"/>
          <w:color w:val="000000" w:themeColor="text1"/>
          <w:sz w:val="24"/>
          <w:szCs w:val="24"/>
          <w:lang w:val="uk-UA"/>
        </w:rPr>
        <w:t xml:space="preserve">Фінансова грамотність, фінансова інклюзія та фінансовий добробут в </w:t>
      </w:r>
      <w:proofErr w:type="spellStart"/>
      <w:r w:rsidRPr="00096B2A">
        <w:rPr>
          <w:rFonts w:ascii="Times New Roman" w:hAnsi="Times New Roman" w:cs="Times New Roman"/>
          <w:color w:val="000000" w:themeColor="text1"/>
          <w:sz w:val="24"/>
          <w:szCs w:val="24"/>
          <w:lang w:val="uk-UA"/>
        </w:rPr>
        <w:t>україні</w:t>
      </w:r>
      <w:proofErr w:type="spellEnd"/>
      <w:r w:rsidRPr="00096B2A">
        <w:rPr>
          <w:rFonts w:ascii="Times New Roman" w:hAnsi="Times New Roman" w:cs="Times New Roman"/>
          <w:color w:val="000000" w:themeColor="text1"/>
          <w:sz w:val="24"/>
          <w:szCs w:val="24"/>
          <w:lang w:val="uk-UA"/>
        </w:rPr>
        <w:t xml:space="preserve"> [Електронний ресурс]. – Режим доступу: </w:t>
      </w:r>
      <w:hyperlink r:id="rId11" w:history="1">
        <w:r w:rsidRPr="00096B2A">
          <w:rPr>
            <w:rFonts w:ascii="Times New Roman" w:hAnsi="Times New Roman" w:cs="Times New Roman"/>
            <w:color w:val="000000" w:themeColor="text1"/>
            <w:sz w:val="24"/>
            <w:szCs w:val="24"/>
            <w:lang w:val="uk-UA"/>
          </w:rPr>
          <w:t>http://www.fst-ua.info/wp-content/uploads/2019/06/Financial-Literacy-Survey-Report_June2019_ua.pdf</w:t>
        </w:r>
      </w:hyperlink>
      <w:r w:rsidRPr="00096B2A">
        <w:rPr>
          <w:rFonts w:ascii="Times New Roman" w:hAnsi="Times New Roman" w:cs="Times New Roman"/>
          <w:color w:val="000000" w:themeColor="text1"/>
          <w:sz w:val="24"/>
          <w:szCs w:val="24"/>
          <w:lang w:val="uk-UA"/>
        </w:rPr>
        <w:t>.</w:t>
      </w:r>
    </w:p>
    <w:p w:rsidR="00096B2A" w:rsidRPr="00D13BEC" w:rsidRDefault="00096B2A" w:rsidP="00096B2A">
      <w:pPr>
        <w:pStyle w:val="a3"/>
        <w:numPr>
          <w:ilvl w:val="0"/>
          <w:numId w:val="3"/>
        </w:numPr>
        <w:spacing w:after="0" w:line="240" w:lineRule="auto"/>
        <w:ind w:left="0" w:firstLine="360"/>
        <w:jc w:val="both"/>
        <w:rPr>
          <w:rFonts w:ascii="Times New Roman" w:hAnsi="Times New Roman" w:cs="Times New Roman"/>
          <w:color w:val="000000" w:themeColor="text1"/>
          <w:sz w:val="24"/>
          <w:szCs w:val="24"/>
          <w:lang w:val="uk-UA"/>
        </w:rPr>
      </w:pPr>
      <w:proofErr w:type="spellStart"/>
      <w:r w:rsidRPr="00D13BEC">
        <w:rPr>
          <w:rFonts w:ascii="Times New Roman" w:hAnsi="Times New Roman" w:cs="Times New Roman"/>
          <w:color w:val="000000" w:themeColor="text1"/>
          <w:sz w:val="24"/>
          <w:szCs w:val="24"/>
          <w:lang w:val="uk-UA"/>
        </w:rPr>
        <w:t>Matkovskiy</w:t>
      </w:r>
      <w:proofErr w:type="spellEnd"/>
      <w:r w:rsidRPr="00D13BEC">
        <w:rPr>
          <w:rFonts w:ascii="Times New Roman" w:hAnsi="Times New Roman" w:cs="Times New Roman"/>
          <w:color w:val="000000" w:themeColor="text1"/>
          <w:sz w:val="24"/>
          <w:szCs w:val="24"/>
          <w:lang w:val="uk-UA"/>
        </w:rPr>
        <w:t xml:space="preserve"> A., </w:t>
      </w:r>
      <w:proofErr w:type="spellStart"/>
      <w:r w:rsidRPr="00D13BEC">
        <w:rPr>
          <w:rFonts w:ascii="Times New Roman" w:hAnsi="Times New Roman" w:cs="Times New Roman"/>
          <w:color w:val="000000" w:themeColor="text1"/>
          <w:sz w:val="24"/>
          <w:szCs w:val="24"/>
          <w:lang w:val="uk-UA"/>
        </w:rPr>
        <w:t>Skryl</w:t>
      </w:r>
      <w:proofErr w:type="spellEnd"/>
      <w:r w:rsidRPr="00D13BEC">
        <w:rPr>
          <w:rFonts w:ascii="Times New Roman" w:hAnsi="Times New Roman" w:cs="Times New Roman"/>
          <w:color w:val="000000" w:themeColor="text1"/>
          <w:sz w:val="24"/>
          <w:szCs w:val="24"/>
          <w:lang w:val="uk-UA"/>
        </w:rPr>
        <w:t xml:space="preserve"> V., </w:t>
      </w:r>
      <w:proofErr w:type="spellStart"/>
      <w:r w:rsidRPr="00D13BEC">
        <w:rPr>
          <w:rFonts w:ascii="Times New Roman" w:hAnsi="Times New Roman" w:cs="Times New Roman"/>
          <w:color w:val="000000" w:themeColor="text1"/>
          <w:sz w:val="24"/>
          <w:szCs w:val="24"/>
          <w:lang w:val="uk-UA"/>
        </w:rPr>
        <w:t>Shtanko</w:t>
      </w:r>
      <w:proofErr w:type="spellEnd"/>
      <w:r w:rsidRPr="00D13BEC">
        <w:rPr>
          <w:rFonts w:ascii="Times New Roman" w:hAnsi="Times New Roman" w:cs="Times New Roman"/>
          <w:color w:val="000000" w:themeColor="text1"/>
          <w:sz w:val="24"/>
          <w:szCs w:val="24"/>
          <w:lang w:val="uk-UA"/>
        </w:rPr>
        <w:t xml:space="preserve"> R. </w:t>
      </w:r>
      <w:proofErr w:type="spellStart"/>
      <w:r w:rsidRPr="00D13BEC">
        <w:rPr>
          <w:rFonts w:ascii="Times New Roman" w:hAnsi="Times New Roman" w:cs="Times New Roman"/>
          <w:color w:val="000000" w:themeColor="text1"/>
          <w:sz w:val="24"/>
          <w:szCs w:val="24"/>
          <w:lang w:val="uk-UA"/>
        </w:rPr>
        <w:t>Financial</w:t>
      </w:r>
      <w:proofErr w:type="spellEnd"/>
      <w:r w:rsidRPr="00D13BEC">
        <w:rPr>
          <w:rFonts w:ascii="Times New Roman" w:hAnsi="Times New Roman" w:cs="Times New Roman"/>
          <w:color w:val="000000" w:themeColor="text1"/>
          <w:sz w:val="24"/>
          <w:szCs w:val="24"/>
          <w:lang w:val="uk-UA"/>
        </w:rPr>
        <w:t xml:space="preserve"> </w:t>
      </w:r>
      <w:proofErr w:type="spellStart"/>
      <w:r w:rsidRPr="00D13BEC">
        <w:rPr>
          <w:rFonts w:ascii="Times New Roman" w:hAnsi="Times New Roman" w:cs="Times New Roman"/>
          <w:color w:val="000000" w:themeColor="text1"/>
          <w:sz w:val="24"/>
          <w:szCs w:val="24"/>
          <w:lang w:val="uk-UA"/>
        </w:rPr>
        <w:t>inclusion</w:t>
      </w:r>
      <w:proofErr w:type="spellEnd"/>
      <w:r w:rsidRPr="00D13BEC">
        <w:rPr>
          <w:rFonts w:ascii="Times New Roman" w:hAnsi="Times New Roman" w:cs="Times New Roman"/>
          <w:color w:val="000000" w:themeColor="text1"/>
          <w:sz w:val="24"/>
          <w:szCs w:val="24"/>
          <w:lang w:val="uk-UA"/>
        </w:rPr>
        <w:t xml:space="preserve"> </w:t>
      </w:r>
      <w:proofErr w:type="spellStart"/>
      <w:r w:rsidRPr="00D13BEC">
        <w:rPr>
          <w:rFonts w:ascii="Times New Roman" w:hAnsi="Times New Roman" w:cs="Times New Roman"/>
          <w:color w:val="000000" w:themeColor="text1"/>
          <w:sz w:val="24"/>
          <w:szCs w:val="24"/>
          <w:lang w:val="uk-UA"/>
        </w:rPr>
        <w:t>of</w:t>
      </w:r>
      <w:proofErr w:type="spellEnd"/>
      <w:r w:rsidRPr="00D13BEC">
        <w:rPr>
          <w:rFonts w:ascii="Times New Roman" w:hAnsi="Times New Roman" w:cs="Times New Roman"/>
          <w:color w:val="000000" w:themeColor="text1"/>
          <w:sz w:val="24"/>
          <w:szCs w:val="24"/>
          <w:lang w:val="uk-UA"/>
        </w:rPr>
        <w:t xml:space="preserve"> </w:t>
      </w:r>
      <w:proofErr w:type="spellStart"/>
      <w:r w:rsidRPr="00D13BEC">
        <w:rPr>
          <w:rFonts w:ascii="Times New Roman" w:hAnsi="Times New Roman" w:cs="Times New Roman"/>
          <w:color w:val="000000" w:themeColor="text1"/>
          <w:sz w:val="24"/>
          <w:szCs w:val="24"/>
          <w:lang w:val="uk-UA"/>
        </w:rPr>
        <w:t>the</w:t>
      </w:r>
      <w:proofErr w:type="spellEnd"/>
      <w:r w:rsidRPr="00D13BEC">
        <w:rPr>
          <w:rFonts w:ascii="Times New Roman" w:hAnsi="Times New Roman" w:cs="Times New Roman"/>
          <w:color w:val="000000" w:themeColor="text1"/>
          <w:sz w:val="24"/>
          <w:szCs w:val="24"/>
          <w:lang w:val="uk-UA"/>
        </w:rPr>
        <w:t xml:space="preserve"> </w:t>
      </w:r>
      <w:proofErr w:type="spellStart"/>
      <w:r w:rsidRPr="00D13BEC">
        <w:rPr>
          <w:rFonts w:ascii="Times New Roman" w:hAnsi="Times New Roman" w:cs="Times New Roman"/>
          <w:color w:val="000000" w:themeColor="text1"/>
          <w:sz w:val="24"/>
          <w:szCs w:val="24"/>
          <w:lang w:val="uk-UA"/>
        </w:rPr>
        <w:t>region</w:t>
      </w:r>
      <w:proofErr w:type="spellEnd"/>
      <w:r w:rsidRPr="00D13BEC">
        <w:rPr>
          <w:rFonts w:ascii="Times New Roman" w:hAnsi="Times New Roman" w:cs="Times New Roman"/>
          <w:color w:val="000000" w:themeColor="text1"/>
          <w:sz w:val="24"/>
          <w:szCs w:val="24"/>
          <w:lang w:val="uk-UA"/>
        </w:rPr>
        <w:t xml:space="preserve">: </w:t>
      </w:r>
      <w:proofErr w:type="spellStart"/>
      <w:r w:rsidRPr="00D13BEC">
        <w:rPr>
          <w:rFonts w:ascii="Times New Roman" w:hAnsi="Times New Roman" w:cs="Times New Roman"/>
          <w:color w:val="000000" w:themeColor="text1"/>
          <w:sz w:val="24"/>
          <w:szCs w:val="24"/>
          <w:lang w:val="uk-UA"/>
        </w:rPr>
        <w:t>analysis</w:t>
      </w:r>
      <w:proofErr w:type="spellEnd"/>
      <w:r w:rsidRPr="00D13BEC">
        <w:rPr>
          <w:rFonts w:ascii="Times New Roman" w:hAnsi="Times New Roman" w:cs="Times New Roman"/>
          <w:color w:val="000000" w:themeColor="text1"/>
          <w:sz w:val="24"/>
          <w:szCs w:val="24"/>
          <w:lang w:val="uk-UA"/>
        </w:rPr>
        <w:t xml:space="preserve"> </w:t>
      </w:r>
      <w:proofErr w:type="spellStart"/>
      <w:r w:rsidRPr="00D13BEC">
        <w:rPr>
          <w:rFonts w:ascii="Times New Roman" w:hAnsi="Times New Roman" w:cs="Times New Roman"/>
          <w:color w:val="000000" w:themeColor="text1"/>
          <w:sz w:val="24"/>
          <w:szCs w:val="24"/>
          <w:lang w:val="uk-UA"/>
        </w:rPr>
        <w:t>of</w:t>
      </w:r>
      <w:proofErr w:type="spellEnd"/>
      <w:r w:rsidRPr="00D13BEC">
        <w:rPr>
          <w:rFonts w:ascii="Times New Roman" w:hAnsi="Times New Roman" w:cs="Times New Roman"/>
          <w:color w:val="000000" w:themeColor="text1"/>
          <w:sz w:val="24"/>
          <w:szCs w:val="24"/>
          <w:lang w:val="uk-UA"/>
        </w:rPr>
        <w:t xml:space="preserve"> </w:t>
      </w:r>
      <w:proofErr w:type="spellStart"/>
      <w:r w:rsidRPr="00D13BEC">
        <w:rPr>
          <w:rFonts w:ascii="Times New Roman" w:hAnsi="Times New Roman" w:cs="Times New Roman"/>
          <w:color w:val="000000" w:themeColor="text1"/>
          <w:sz w:val="24"/>
          <w:szCs w:val="24"/>
          <w:lang w:val="uk-UA"/>
        </w:rPr>
        <w:t>the</w:t>
      </w:r>
      <w:proofErr w:type="spellEnd"/>
      <w:r w:rsidRPr="00D13BEC">
        <w:rPr>
          <w:rFonts w:ascii="Times New Roman" w:hAnsi="Times New Roman" w:cs="Times New Roman"/>
          <w:color w:val="000000" w:themeColor="text1"/>
          <w:sz w:val="24"/>
          <w:szCs w:val="24"/>
          <w:lang w:val="uk-UA"/>
        </w:rPr>
        <w:t xml:space="preserve"> </w:t>
      </w:r>
      <w:proofErr w:type="spellStart"/>
      <w:r w:rsidRPr="00D13BEC">
        <w:rPr>
          <w:rFonts w:ascii="Times New Roman" w:hAnsi="Times New Roman" w:cs="Times New Roman"/>
          <w:color w:val="000000" w:themeColor="text1"/>
          <w:sz w:val="24"/>
          <w:szCs w:val="24"/>
          <w:lang w:val="uk-UA"/>
        </w:rPr>
        <w:t>situation</w:t>
      </w:r>
      <w:proofErr w:type="spellEnd"/>
      <w:r w:rsidRPr="00D13BEC">
        <w:rPr>
          <w:rFonts w:ascii="Times New Roman" w:hAnsi="Times New Roman" w:cs="Times New Roman"/>
          <w:color w:val="000000" w:themeColor="text1"/>
          <w:sz w:val="24"/>
          <w:szCs w:val="24"/>
          <w:lang w:val="uk-UA"/>
        </w:rPr>
        <w:t xml:space="preserve"> </w:t>
      </w:r>
      <w:proofErr w:type="spellStart"/>
      <w:r w:rsidRPr="00D13BEC">
        <w:rPr>
          <w:rFonts w:ascii="Times New Roman" w:hAnsi="Times New Roman" w:cs="Times New Roman"/>
          <w:color w:val="000000" w:themeColor="text1"/>
          <w:sz w:val="24"/>
          <w:szCs w:val="24"/>
          <w:lang w:val="uk-UA"/>
        </w:rPr>
        <w:t>and</w:t>
      </w:r>
      <w:proofErr w:type="spellEnd"/>
      <w:r w:rsidRPr="00D13BEC">
        <w:rPr>
          <w:rFonts w:ascii="Times New Roman" w:hAnsi="Times New Roman" w:cs="Times New Roman"/>
          <w:color w:val="000000" w:themeColor="text1"/>
          <w:sz w:val="24"/>
          <w:szCs w:val="24"/>
          <w:lang w:val="uk-UA"/>
        </w:rPr>
        <w:t xml:space="preserve"> </w:t>
      </w:r>
      <w:proofErr w:type="spellStart"/>
      <w:r w:rsidRPr="00D13BEC">
        <w:rPr>
          <w:rFonts w:ascii="Times New Roman" w:hAnsi="Times New Roman" w:cs="Times New Roman"/>
          <w:color w:val="000000" w:themeColor="text1"/>
          <w:sz w:val="24"/>
          <w:szCs w:val="24"/>
          <w:lang w:val="uk-UA"/>
        </w:rPr>
        <w:t>directions</w:t>
      </w:r>
      <w:proofErr w:type="spellEnd"/>
      <w:r w:rsidRPr="00D13BEC">
        <w:rPr>
          <w:rFonts w:ascii="Times New Roman" w:hAnsi="Times New Roman" w:cs="Times New Roman"/>
          <w:color w:val="000000" w:themeColor="text1"/>
          <w:sz w:val="24"/>
          <w:szCs w:val="24"/>
          <w:lang w:val="uk-UA"/>
        </w:rPr>
        <w:t xml:space="preserve"> </w:t>
      </w:r>
      <w:proofErr w:type="spellStart"/>
      <w:r w:rsidRPr="00D13BEC">
        <w:rPr>
          <w:rFonts w:ascii="Times New Roman" w:hAnsi="Times New Roman" w:cs="Times New Roman"/>
          <w:color w:val="000000" w:themeColor="text1"/>
          <w:sz w:val="24"/>
          <w:szCs w:val="24"/>
          <w:lang w:val="uk-UA"/>
        </w:rPr>
        <w:t>of</w:t>
      </w:r>
      <w:proofErr w:type="spellEnd"/>
      <w:r w:rsidRPr="00D13BEC">
        <w:rPr>
          <w:rFonts w:ascii="Times New Roman" w:hAnsi="Times New Roman" w:cs="Times New Roman"/>
          <w:color w:val="000000" w:themeColor="text1"/>
          <w:sz w:val="24"/>
          <w:szCs w:val="24"/>
          <w:lang w:val="uk-UA"/>
        </w:rPr>
        <w:t xml:space="preserve"> </w:t>
      </w:r>
      <w:proofErr w:type="spellStart"/>
      <w:r w:rsidRPr="00D13BEC">
        <w:rPr>
          <w:rFonts w:ascii="Times New Roman" w:hAnsi="Times New Roman" w:cs="Times New Roman"/>
          <w:color w:val="000000" w:themeColor="text1"/>
          <w:sz w:val="24"/>
          <w:szCs w:val="24"/>
          <w:lang w:val="uk-UA"/>
        </w:rPr>
        <w:t>security</w:t>
      </w:r>
      <w:proofErr w:type="spellEnd"/>
      <w:r w:rsidRPr="00D13BEC">
        <w:rPr>
          <w:rFonts w:ascii="Times New Roman" w:hAnsi="Times New Roman" w:cs="Times New Roman"/>
          <w:color w:val="000000" w:themeColor="text1"/>
          <w:sz w:val="24"/>
          <w:szCs w:val="24"/>
          <w:lang w:val="uk-UA"/>
        </w:rPr>
        <w:t xml:space="preserve">. – </w:t>
      </w:r>
      <w:proofErr w:type="spellStart"/>
      <w:r w:rsidRPr="00D13BEC">
        <w:rPr>
          <w:rFonts w:ascii="Times New Roman" w:hAnsi="Times New Roman" w:cs="Times New Roman"/>
          <w:color w:val="000000" w:themeColor="text1"/>
          <w:sz w:val="24"/>
          <w:szCs w:val="24"/>
          <w:lang w:val="uk-UA"/>
        </w:rPr>
        <w:t>Еconomic</w:t>
      </w:r>
      <w:proofErr w:type="spellEnd"/>
      <w:r w:rsidRPr="00D13BEC">
        <w:rPr>
          <w:rFonts w:ascii="Times New Roman" w:hAnsi="Times New Roman" w:cs="Times New Roman"/>
          <w:color w:val="000000" w:themeColor="text1"/>
          <w:sz w:val="24"/>
          <w:szCs w:val="24"/>
          <w:lang w:val="uk-UA"/>
        </w:rPr>
        <w:t xml:space="preserve">&amp; </w:t>
      </w:r>
      <w:proofErr w:type="spellStart"/>
      <w:r w:rsidRPr="00D13BEC">
        <w:rPr>
          <w:rFonts w:ascii="Times New Roman" w:hAnsi="Times New Roman" w:cs="Times New Roman"/>
          <w:color w:val="000000" w:themeColor="text1"/>
          <w:sz w:val="24"/>
          <w:szCs w:val="24"/>
          <w:lang w:val="uk-UA"/>
        </w:rPr>
        <w:t>regions</w:t>
      </w:r>
      <w:proofErr w:type="spellEnd"/>
      <w:r w:rsidRPr="00D13BEC">
        <w:rPr>
          <w:rFonts w:ascii="Times New Roman" w:hAnsi="Times New Roman" w:cs="Times New Roman"/>
          <w:color w:val="000000" w:themeColor="text1"/>
          <w:sz w:val="24"/>
          <w:szCs w:val="24"/>
          <w:lang w:val="uk-UA"/>
        </w:rPr>
        <w:t>. – 2019. – №4 (75). – Р. 62-71.</w:t>
      </w:r>
    </w:p>
    <w:p w:rsidR="00D13BEC" w:rsidRPr="00B668BA" w:rsidRDefault="00D13BEC" w:rsidP="00B668BA">
      <w:pPr>
        <w:pStyle w:val="a3"/>
        <w:numPr>
          <w:ilvl w:val="0"/>
          <w:numId w:val="3"/>
        </w:numPr>
        <w:spacing w:after="0" w:line="240" w:lineRule="auto"/>
        <w:ind w:left="0" w:firstLine="397"/>
        <w:jc w:val="both"/>
        <w:rPr>
          <w:rFonts w:ascii="Times New Roman" w:hAnsi="Times New Roman" w:cs="Times New Roman"/>
          <w:color w:val="000000" w:themeColor="text1"/>
          <w:sz w:val="24"/>
          <w:szCs w:val="24"/>
          <w:lang w:val="uk-UA"/>
        </w:rPr>
      </w:pPr>
      <w:proofErr w:type="spellStart"/>
      <w:r w:rsidRPr="00B668BA">
        <w:rPr>
          <w:rFonts w:ascii="Times New Roman" w:hAnsi="Times New Roman" w:cs="Times New Roman"/>
          <w:color w:val="000000" w:themeColor="text1"/>
          <w:sz w:val="24"/>
          <w:szCs w:val="24"/>
          <w:lang w:val="uk-UA"/>
        </w:rPr>
        <w:t>Пахненко</w:t>
      </w:r>
      <w:proofErr w:type="spellEnd"/>
      <w:r w:rsidRPr="00B668BA">
        <w:rPr>
          <w:rFonts w:ascii="Times New Roman" w:hAnsi="Times New Roman" w:cs="Times New Roman"/>
          <w:color w:val="000000" w:themeColor="text1"/>
          <w:sz w:val="24"/>
          <w:szCs w:val="24"/>
          <w:lang w:val="uk-UA"/>
        </w:rPr>
        <w:t xml:space="preserve"> О. М. Аналіз підходів до оцінювання рівня фінансової </w:t>
      </w:r>
      <w:proofErr w:type="spellStart"/>
      <w:r w:rsidRPr="00B668BA">
        <w:rPr>
          <w:rFonts w:ascii="Times New Roman" w:hAnsi="Times New Roman" w:cs="Times New Roman"/>
          <w:color w:val="000000" w:themeColor="text1"/>
          <w:sz w:val="24"/>
          <w:szCs w:val="24"/>
          <w:lang w:val="uk-UA"/>
        </w:rPr>
        <w:t>інклюзивності</w:t>
      </w:r>
      <w:proofErr w:type="spellEnd"/>
      <w:r w:rsidRPr="00B668BA">
        <w:rPr>
          <w:rFonts w:ascii="Times New Roman" w:hAnsi="Times New Roman" w:cs="Times New Roman"/>
          <w:color w:val="000000" w:themeColor="text1"/>
          <w:sz w:val="24"/>
          <w:szCs w:val="24"/>
          <w:lang w:val="uk-UA"/>
        </w:rPr>
        <w:t>. Проблеми і перспективи розвитку фінансово-кредитної системи України: збірник матеріалів ІІ Всеукраїнської науково-практичної конференції (23 листопада 2017 р., м. Суми). Суми: Сумський державний університет, 2017. С. 170–174.</w:t>
      </w:r>
    </w:p>
    <w:p w:rsidR="00D13BEC" w:rsidRPr="00B668BA" w:rsidRDefault="00D13BEC" w:rsidP="00B668BA">
      <w:pPr>
        <w:pStyle w:val="a3"/>
        <w:numPr>
          <w:ilvl w:val="0"/>
          <w:numId w:val="3"/>
        </w:numPr>
        <w:spacing w:after="0" w:line="240" w:lineRule="auto"/>
        <w:ind w:left="0" w:firstLine="397"/>
        <w:jc w:val="both"/>
        <w:rPr>
          <w:rFonts w:ascii="Times New Roman" w:hAnsi="Times New Roman" w:cs="Times New Roman"/>
          <w:color w:val="000000" w:themeColor="text1"/>
          <w:sz w:val="24"/>
          <w:szCs w:val="24"/>
          <w:lang w:val="uk-UA"/>
        </w:rPr>
      </w:pPr>
      <w:r w:rsidRPr="00B668BA">
        <w:rPr>
          <w:rFonts w:ascii="Times New Roman" w:hAnsi="Times New Roman" w:cs="Times New Roman"/>
          <w:color w:val="000000" w:themeColor="text1"/>
          <w:sz w:val="24"/>
          <w:szCs w:val="24"/>
          <w:lang w:val="uk-UA"/>
        </w:rPr>
        <w:t xml:space="preserve">Глобальна база даних </w:t>
      </w:r>
      <w:proofErr w:type="spellStart"/>
      <w:r w:rsidRPr="00B668BA">
        <w:rPr>
          <w:rFonts w:ascii="Times New Roman" w:hAnsi="Times New Roman" w:cs="Times New Roman"/>
          <w:color w:val="000000" w:themeColor="text1"/>
          <w:sz w:val="24"/>
          <w:szCs w:val="24"/>
          <w:lang w:val="uk-UA"/>
        </w:rPr>
        <w:t>Global</w:t>
      </w:r>
      <w:proofErr w:type="spellEnd"/>
      <w:r w:rsidRPr="00B668BA">
        <w:rPr>
          <w:rFonts w:ascii="Times New Roman" w:hAnsi="Times New Roman" w:cs="Times New Roman"/>
          <w:color w:val="000000" w:themeColor="text1"/>
          <w:sz w:val="24"/>
          <w:szCs w:val="24"/>
          <w:lang w:val="uk-UA"/>
        </w:rPr>
        <w:t xml:space="preserve"> </w:t>
      </w:r>
      <w:proofErr w:type="spellStart"/>
      <w:r w:rsidRPr="00B668BA">
        <w:rPr>
          <w:rFonts w:ascii="Times New Roman" w:hAnsi="Times New Roman" w:cs="Times New Roman"/>
          <w:color w:val="000000" w:themeColor="text1"/>
          <w:sz w:val="24"/>
          <w:szCs w:val="24"/>
          <w:lang w:val="uk-UA"/>
        </w:rPr>
        <w:t>Findex</w:t>
      </w:r>
      <w:proofErr w:type="spellEnd"/>
      <w:r w:rsidRPr="00B668BA">
        <w:rPr>
          <w:rFonts w:ascii="Times New Roman" w:hAnsi="Times New Roman" w:cs="Times New Roman"/>
          <w:color w:val="000000" w:themeColor="text1"/>
          <w:sz w:val="24"/>
          <w:szCs w:val="24"/>
          <w:lang w:val="uk-UA"/>
        </w:rPr>
        <w:t xml:space="preserve">  [Електронний ресурс]. – Режим доступу: </w:t>
      </w:r>
      <w:hyperlink r:id="rId12" w:history="1">
        <w:r w:rsidRPr="00B668BA">
          <w:rPr>
            <w:rFonts w:ascii="Times New Roman" w:hAnsi="Times New Roman" w:cs="Times New Roman"/>
            <w:color w:val="000000" w:themeColor="text1"/>
            <w:sz w:val="24"/>
            <w:szCs w:val="24"/>
            <w:lang w:val="uk-UA"/>
          </w:rPr>
          <w:t>https://globalfindex.worldbank.org/node</w:t>
        </w:r>
      </w:hyperlink>
    </w:p>
    <w:p w:rsidR="00D13BEC" w:rsidRPr="00B668BA" w:rsidRDefault="00D13BEC" w:rsidP="00B668BA">
      <w:pPr>
        <w:pStyle w:val="a3"/>
        <w:numPr>
          <w:ilvl w:val="0"/>
          <w:numId w:val="3"/>
        </w:numPr>
        <w:spacing w:after="0" w:line="240" w:lineRule="auto"/>
        <w:ind w:left="0" w:firstLine="397"/>
        <w:jc w:val="both"/>
        <w:rPr>
          <w:rFonts w:ascii="Times New Roman" w:hAnsi="Times New Roman" w:cs="Times New Roman"/>
          <w:color w:val="000000" w:themeColor="text1"/>
          <w:sz w:val="24"/>
          <w:szCs w:val="24"/>
          <w:lang w:val="uk-UA"/>
        </w:rPr>
      </w:pPr>
      <w:r w:rsidRPr="00B668BA">
        <w:rPr>
          <w:rFonts w:ascii="Times New Roman" w:hAnsi="Times New Roman" w:cs="Times New Roman"/>
          <w:color w:val="000000" w:themeColor="text1"/>
          <w:sz w:val="24"/>
          <w:szCs w:val="24"/>
        </w:rPr>
        <w:t xml:space="preserve">Державна служба статистики </w:t>
      </w:r>
      <w:r w:rsidRPr="00B668BA">
        <w:rPr>
          <w:rFonts w:ascii="Times New Roman" w:hAnsi="Times New Roman" w:cs="Times New Roman"/>
          <w:color w:val="000000" w:themeColor="text1"/>
          <w:sz w:val="24"/>
          <w:szCs w:val="24"/>
          <w:lang w:val="uk-UA"/>
        </w:rPr>
        <w:t xml:space="preserve">[Електронний ресурс]. – Режим доступу: </w:t>
      </w:r>
      <w:hyperlink r:id="rId13" w:history="1">
        <w:r w:rsidRPr="00B668BA">
          <w:rPr>
            <w:rFonts w:ascii="Times New Roman" w:hAnsi="Times New Roman" w:cs="Times New Roman"/>
            <w:color w:val="000000" w:themeColor="text1"/>
            <w:sz w:val="24"/>
            <w:szCs w:val="24"/>
            <w:lang w:val="uk-UA"/>
          </w:rPr>
          <w:t>http://www.ukrstat.gov.ua/</w:t>
        </w:r>
      </w:hyperlink>
    </w:p>
    <w:p w:rsidR="00D13BEC" w:rsidRPr="00B668BA" w:rsidRDefault="00D13BEC" w:rsidP="00B668BA">
      <w:pPr>
        <w:pStyle w:val="a3"/>
        <w:numPr>
          <w:ilvl w:val="0"/>
          <w:numId w:val="3"/>
        </w:numPr>
        <w:spacing w:after="0" w:line="240" w:lineRule="auto"/>
        <w:ind w:left="0" w:firstLine="397"/>
        <w:jc w:val="both"/>
        <w:rPr>
          <w:rFonts w:ascii="Times New Roman" w:hAnsi="Times New Roman" w:cs="Times New Roman"/>
          <w:color w:val="000000" w:themeColor="text1"/>
          <w:sz w:val="24"/>
          <w:szCs w:val="24"/>
          <w:lang w:val="uk-UA"/>
        </w:rPr>
      </w:pPr>
      <w:r w:rsidRPr="00B668BA">
        <w:rPr>
          <w:rFonts w:ascii="Times New Roman" w:hAnsi="Times New Roman" w:cs="Times New Roman"/>
          <w:color w:val="000000" w:themeColor="text1"/>
          <w:sz w:val="24"/>
          <w:szCs w:val="24"/>
          <w:lang w:val="uk-UA"/>
        </w:rPr>
        <w:t xml:space="preserve">Національний банк України [Електронний ресурс]. – Режим доступу: </w:t>
      </w:r>
      <w:hyperlink r:id="rId14" w:history="1">
        <w:r w:rsidRPr="00B668BA">
          <w:rPr>
            <w:rFonts w:ascii="Times New Roman" w:hAnsi="Times New Roman" w:cs="Times New Roman"/>
            <w:color w:val="000000" w:themeColor="text1"/>
            <w:sz w:val="24"/>
            <w:szCs w:val="24"/>
            <w:lang w:val="uk-UA"/>
          </w:rPr>
          <w:t>https://bank.gov.ua/markets/about</w:t>
        </w:r>
      </w:hyperlink>
      <w:r w:rsidRPr="00B668BA">
        <w:rPr>
          <w:rFonts w:ascii="Times New Roman" w:hAnsi="Times New Roman" w:cs="Times New Roman"/>
          <w:color w:val="000000" w:themeColor="text1"/>
          <w:sz w:val="24"/>
          <w:szCs w:val="24"/>
          <w:lang w:val="uk-UA"/>
        </w:rPr>
        <w:t>.</w:t>
      </w:r>
    </w:p>
    <w:p w:rsidR="00D13BEC" w:rsidRPr="00D13BEC" w:rsidRDefault="00D13BEC" w:rsidP="00B668BA">
      <w:pPr>
        <w:pStyle w:val="a3"/>
        <w:spacing w:after="0" w:line="240" w:lineRule="auto"/>
        <w:ind w:left="360"/>
        <w:jc w:val="both"/>
        <w:rPr>
          <w:rFonts w:ascii="Times New Roman" w:hAnsi="Times New Roman" w:cs="Times New Roman"/>
          <w:color w:val="000000" w:themeColor="text1"/>
          <w:sz w:val="24"/>
          <w:szCs w:val="24"/>
          <w:lang w:val="uk-UA"/>
        </w:rPr>
      </w:pPr>
    </w:p>
    <w:p w:rsidR="00125418" w:rsidRPr="00D13BEC" w:rsidRDefault="00125418" w:rsidP="001B6265">
      <w:pPr>
        <w:spacing w:after="0" w:line="240" w:lineRule="auto"/>
        <w:ind w:firstLine="709"/>
        <w:jc w:val="both"/>
        <w:rPr>
          <w:rFonts w:ascii="Times New Roman" w:hAnsi="Times New Roman" w:cs="Times New Roman"/>
          <w:color w:val="000000" w:themeColor="text1"/>
          <w:sz w:val="24"/>
          <w:szCs w:val="24"/>
          <w:lang w:val="uk-UA"/>
        </w:rPr>
      </w:pPr>
    </w:p>
    <w:p w:rsidR="00125418" w:rsidRPr="00D13BEC" w:rsidRDefault="00125418" w:rsidP="001B6265">
      <w:pPr>
        <w:spacing w:after="0" w:line="240" w:lineRule="auto"/>
        <w:ind w:firstLine="709"/>
        <w:jc w:val="both"/>
        <w:rPr>
          <w:rFonts w:ascii="Times New Roman" w:hAnsi="Times New Roman" w:cs="Times New Roman"/>
          <w:sz w:val="24"/>
          <w:szCs w:val="24"/>
          <w:lang w:val="uk-UA"/>
        </w:rPr>
      </w:pPr>
    </w:p>
    <w:sectPr w:rsidR="00125418" w:rsidRPr="00D13BEC" w:rsidSect="0012541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roximanova">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SourceSansPr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03D9"/>
    <w:multiLevelType w:val="multilevel"/>
    <w:tmpl w:val="595EF5FA"/>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18D84AFA"/>
    <w:multiLevelType w:val="hybridMultilevel"/>
    <w:tmpl w:val="3FC02318"/>
    <w:lvl w:ilvl="0" w:tplc="A0FA1E12">
      <w:start w:val="1"/>
      <w:numFmt w:val="decimal"/>
      <w:lvlText w:val="%1."/>
      <w:lvlJc w:val="left"/>
      <w:pPr>
        <w:ind w:left="928" w:hanging="360"/>
      </w:pPr>
      <w:rPr>
        <w:rFonts w:ascii="Times New Roman" w:hAnsi="Times New Roman" w:cs="Times New Roman" w:hint="default"/>
        <w:b w:val="0"/>
        <w:i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22E642D"/>
    <w:multiLevelType w:val="hybridMultilevel"/>
    <w:tmpl w:val="7AE4E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2B23B8"/>
    <w:multiLevelType w:val="hybridMultilevel"/>
    <w:tmpl w:val="F1A034B4"/>
    <w:lvl w:ilvl="0" w:tplc="0E4A6B24">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9723713"/>
    <w:multiLevelType w:val="hybridMultilevel"/>
    <w:tmpl w:val="98DEF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B8E196F"/>
    <w:multiLevelType w:val="hybridMultilevel"/>
    <w:tmpl w:val="98DEF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D2E7AB8"/>
    <w:multiLevelType w:val="hybridMultilevel"/>
    <w:tmpl w:val="659EF9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ED7"/>
    <w:rsid w:val="000027FC"/>
    <w:rsid w:val="00096B2A"/>
    <w:rsid w:val="000B06BE"/>
    <w:rsid w:val="00125418"/>
    <w:rsid w:val="001B6265"/>
    <w:rsid w:val="0034650B"/>
    <w:rsid w:val="00372024"/>
    <w:rsid w:val="003A2CAD"/>
    <w:rsid w:val="003D3F5A"/>
    <w:rsid w:val="003E4B97"/>
    <w:rsid w:val="004B2794"/>
    <w:rsid w:val="00513DA8"/>
    <w:rsid w:val="00514E3B"/>
    <w:rsid w:val="00570BBD"/>
    <w:rsid w:val="00700ED7"/>
    <w:rsid w:val="00730C14"/>
    <w:rsid w:val="00795BA4"/>
    <w:rsid w:val="00806289"/>
    <w:rsid w:val="0085530B"/>
    <w:rsid w:val="008B2DD5"/>
    <w:rsid w:val="008F0AE5"/>
    <w:rsid w:val="009C4FDA"/>
    <w:rsid w:val="00AA4184"/>
    <w:rsid w:val="00AF0263"/>
    <w:rsid w:val="00B668BA"/>
    <w:rsid w:val="00B712D1"/>
    <w:rsid w:val="00BB2457"/>
    <w:rsid w:val="00BE35E7"/>
    <w:rsid w:val="00CE2904"/>
    <w:rsid w:val="00D13BEC"/>
    <w:rsid w:val="00D779F8"/>
    <w:rsid w:val="00DF28A9"/>
    <w:rsid w:val="00E07659"/>
    <w:rsid w:val="00E36481"/>
    <w:rsid w:val="00EB5E72"/>
    <w:rsid w:val="00FF7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2CAD"/>
    <w:pPr>
      <w:ind w:left="720"/>
      <w:contextualSpacing/>
    </w:pPr>
  </w:style>
  <w:style w:type="character" w:styleId="a4">
    <w:name w:val="Hyperlink"/>
    <w:basedOn w:val="a0"/>
    <w:uiPriority w:val="99"/>
    <w:semiHidden/>
    <w:unhideWhenUsed/>
    <w:rsid w:val="001B62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2CAD"/>
    <w:pPr>
      <w:ind w:left="720"/>
      <w:contextualSpacing/>
    </w:pPr>
  </w:style>
  <w:style w:type="character" w:styleId="a4">
    <w:name w:val="Hyperlink"/>
    <w:basedOn w:val="a0"/>
    <w:uiPriority w:val="99"/>
    <w:semiHidden/>
    <w:unhideWhenUsed/>
    <w:rsid w:val="001B62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41675">
      <w:bodyDiv w:val="1"/>
      <w:marLeft w:val="0"/>
      <w:marRight w:val="0"/>
      <w:marTop w:val="0"/>
      <w:marBottom w:val="0"/>
      <w:divBdr>
        <w:top w:val="none" w:sz="0" w:space="0" w:color="auto"/>
        <w:left w:val="none" w:sz="0" w:space="0" w:color="auto"/>
        <w:bottom w:val="none" w:sz="0" w:space="0" w:color="auto"/>
        <w:right w:val="none" w:sz="0" w:space="0" w:color="auto"/>
      </w:divBdr>
    </w:div>
    <w:div w:id="303197958">
      <w:bodyDiv w:val="1"/>
      <w:marLeft w:val="0"/>
      <w:marRight w:val="0"/>
      <w:marTop w:val="0"/>
      <w:marBottom w:val="0"/>
      <w:divBdr>
        <w:top w:val="none" w:sz="0" w:space="0" w:color="auto"/>
        <w:left w:val="none" w:sz="0" w:space="0" w:color="auto"/>
        <w:bottom w:val="none" w:sz="0" w:space="0" w:color="auto"/>
        <w:right w:val="none" w:sz="0" w:space="0" w:color="auto"/>
      </w:divBdr>
    </w:div>
    <w:div w:id="551695281">
      <w:bodyDiv w:val="1"/>
      <w:marLeft w:val="0"/>
      <w:marRight w:val="0"/>
      <w:marTop w:val="0"/>
      <w:marBottom w:val="0"/>
      <w:divBdr>
        <w:top w:val="none" w:sz="0" w:space="0" w:color="auto"/>
        <w:left w:val="none" w:sz="0" w:space="0" w:color="auto"/>
        <w:bottom w:val="none" w:sz="0" w:space="0" w:color="auto"/>
        <w:right w:val="none" w:sz="0" w:space="0" w:color="auto"/>
      </w:divBdr>
      <w:divsChild>
        <w:div w:id="1423647179">
          <w:marLeft w:val="0"/>
          <w:marRight w:val="0"/>
          <w:marTop w:val="0"/>
          <w:marBottom w:val="0"/>
          <w:divBdr>
            <w:top w:val="none" w:sz="0" w:space="0" w:color="auto"/>
            <w:left w:val="none" w:sz="0" w:space="0" w:color="auto"/>
            <w:bottom w:val="none" w:sz="0" w:space="0" w:color="auto"/>
            <w:right w:val="none" w:sz="0" w:space="0" w:color="auto"/>
          </w:divBdr>
          <w:divsChild>
            <w:div w:id="564923785">
              <w:marLeft w:val="0"/>
              <w:marRight w:val="0"/>
              <w:marTop w:val="0"/>
              <w:marBottom w:val="0"/>
              <w:divBdr>
                <w:top w:val="none" w:sz="0" w:space="0" w:color="auto"/>
                <w:left w:val="none" w:sz="0" w:space="0" w:color="auto"/>
                <w:bottom w:val="none" w:sz="0" w:space="0" w:color="auto"/>
                <w:right w:val="none" w:sz="0" w:space="0" w:color="auto"/>
              </w:divBdr>
            </w:div>
            <w:div w:id="1460032012">
              <w:marLeft w:val="300"/>
              <w:marRight w:val="0"/>
              <w:marTop w:val="0"/>
              <w:marBottom w:val="0"/>
              <w:divBdr>
                <w:top w:val="none" w:sz="0" w:space="0" w:color="auto"/>
                <w:left w:val="none" w:sz="0" w:space="0" w:color="auto"/>
                <w:bottom w:val="none" w:sz="0" w:space="0" w:color="auto"/>
                <w:right w:val="none" w:sz="0" w:space="0" w:color="auto"/>
              </w:divBdr>
            </w:div>
            <w:div w:id="886142041">
              <w:marLeft w:val="300"/>
              <w:marRight w:val="0"/>
              <w:marTop w:val="0"/>
              <w:marBottom w:val="0"/>
              <w:divBdr>
                <w:top w:val="none" w:sz="0" w:space="0" w:color="auto"/>
                <w:left w:val="none" w:sz="0" w:space="0" w:color="auto"/>
                <w:bottom w:val="none" w:sz="0" w:space="0" w:color="auto"/>
                <w:right w:val="none" w:sz="0" w:space="0" w:color="auto"/>
              </w:divBdr>
            </w:div>
            <w:div w:id="409277941">
              <w:marLeft w:val="0"/>
              <w:marRight w:val="0"/>
              <w:marTop w:val="0"/>
              <w:marBottom w:val="0"/>
              <w:divBdr>
                <w:top w:val="none" w:sz="0" w:space="0" w:color="auto"/>
                <w:left w:val="none" w:sz="0" w:space="0" w:color="auto"/>
                <w:bottom w:val="none" w:sz="0" w:space="0" w:color="auto"/>
                <w:right w:val="none" w:sz="0" w:space="0" w:color="auto"/>
              </w:divBdr>
            </w:div>
            <w:div w:id="1477263619">
              <w:marLeft w:val="60"/>
              <w:marRight w:val="0"/>
              <w:marTop w:val="0"/>
              <w:marBottom w:val="0"/>
              <w:divBdr>
                <w:top w:val="none" w:sz="0" w:space="0" w:color="auto"/>
                <w:left w:val="none" w:sz="0" w:space="0" w:color="auto"/>
                <w:bottom w:val="none" w:sz="0" w:space="0" w:color="auto"/>
                <w:right w:val="none" w:sz="0" w:space="0" w:color="auto"/>
              </w:divBdr>
            </w:div>
          </w:divsChild>
        </w:div>
        <w:div w:id="506822445">
          <w:marLeft w:val="0"/>
          <w:marRight w:val="0"/>
          <w:marTop w:val="0"/>
          <w:marBottom w:val="0"/>
          <w:divBdr>
            <w:top w:val="none" w:sz="0" w:space="0" w:color="auto"/>
            <w:left w:val="none" w:sz="0" w:space="0" w:color="auto"/>
            <w:bottom w:val="none" w:sz="0" w:space="0" w:color="auto"/>
            <w:right w:val="none" w:sz="0" w:space="0" w:color="auto"/>
          </w:divBdr>
          <w:divsChild>
            <w:div w:id="1242910996">
              <w:marLeft w:val="0"/>
              <w:marRight w:val="0"/>
              <w:marTop w:val="120"/>
              <w:marBottom w:val="0"/>
              <w:divBdr>
                <w:top w:val="none" w:sz="0" w:space="0" w:color="auto"/>
                <w:left w:val="none" w:sz="0" w:space="0" w:color="auto"/>
                <w:bottom w:val="none" w:sz="0" w:space="0" w:color="auto"/>
                <w:right w:val="none" w:sz="0" w:space="0" w:color="auto"/>
              </w:divBdr>
              <w:divsChild>
                <w:div w:id="912786661">
                  <w:marLeft w:val="0"/>
                  <w:marRight w:val="0"/>
                  <w:marTop w:val="0"/>
                  <w:marBottom w:val="0"/>
                  <w:divBdr>
                    <w:top w:val="none" w:sz="0" w:space="0" w:color="auto"/>
                    <w:left w:val="none" w:sz="0" w:space="0" w:color="auto"/>
                    <w:bottom w:val="none" w:sz="0" w:space="0" w:color="auto"/>
                    <w:right w:val="none" w:sz="0" w:space="0" w:color="auto"/>
                  </w:divBdr>
                  <w:divsChild>
                    <w:div w:id="1774982807">
                      <w:marLeft w:val="0"/>
                      <w:marRight w:val="0"/>
                      <w:marTop w:val="0"/>
                      <w:marBottom w:val="0"/>
                      <w:divBdr>
                        <w:top w:val="none" w:sz="0" w:space="0" w:color="auto"/>
                        <w:left w:val="none" w:sz="0" w:space="0" w:color="auto"/>
                        <w:bottom w:val="none" w:sz="0" w:space="0" w:color="auto"/>
                        <w:right w:val="none" w:sz="0" w:space="0" w:color="auto"/>
                      </w:divBdr>
                      <w:divsChild>
                        <w:div w:id="99302917">
                          <w:marLeft w:val="0"/>
                          <w:marRight w:val="0"/>
                          <w:marTop w:val="0"/>
                          <w:marBottom w:val="0"/>
                          <w:divBdr>
                            <w:top w:val="none" w:sz="0" w:space="0" w:color="auto"/>
                            <w:left w:val="none" w:sz="0" w:space="0" w:color="auto"/>
                            <w:bottom w:val="none" w:sz="0" w:space="0" w:color="auto"/>
                            <w:right w:val="none" w:sz="0" w:space="0" w:color="auto"/>
                          </w:divBdr>
                          <w:divsChild>
                            <w:div w:id="2015911145">
                              <w:marLeft w:val="0"/>
                              <w:marRight w:val="0"/>
                              <w:marTop w:val="0"/>
                              <w:marBottom w:val="0"/>
                              <w:divBdr>
                                <w:top w:val="none" w:sz="0" w:space="0" w:color="auto"/>
                                <w:left w:val="none" w:sz="0" w:space="0" w:color="auto"/>
                                <w:bottom w:val="none" w:sz="0" w:space="0" w:color="auto"/>
                                <w:right w:val="none" w:sz="0" w:space="0" w:color="auto"/>
                              </w:divBdr>
                            </w:div>
                            <w:div w:id="1749495552">
                              <w:marLeft w:val="0"/>
                              <w:marRight w:val="0"/>
                              <w:marTop w:val="0"/>
                              <w:marBottom w:val="0"/>
                              <w:divBdr>
                                <w:top w:val="none" w:sz="0" w:space="0" w:color="auto"/>
                                <w:left w:val="none" w:sz="0" w:space="0" w:color="auto"/>
                                <w:bottom w:val="none" w:sz="0" w:space="0" w:color="auto"/>
                                <w:right w:val="none" w:sz="0" w:space="0" w:color="auto"/>
                              </w:divBdr>
                            </w:div>
                            <w:div w:id="406415076">
                              <w:marLeft w:val="0"/>
                              <w:marRight w:val="0"/>
                              <w:marTop w:val="0"/>
                              <w:marBottom w:val="0"/>
                              <w:divBdr>
                                <w:top w:val="none" w:sz="0" w:space="0" w:color="auto"/>
                                <w:left w:val="none" w:sz="0" w:space="0" w:color="auto"/>
                                <w:bottom w:val="none" w:sz="0" w:space="0" w:color="auto"/>
                                <w:right w:val="none" w:sz="0" w:space="0" w:color="auto"/>
                              </w:divBdr>
                            </w:div>
                            <w:div w:id="1448306176">
                              <w:marLeft w:val="0"/>
                              <w:marRight w:val="0"/>
                              <w:marTop w:val="0"/>
                              <w:marBottom w:val="0"/>
                              <w:divBdr>
                                <w:top w:val="none" w:sz="0" w:space="0" w:color="auto"/>
                                <w:left w:val="none" w:sz="0" w:space="0" w:color="auto"/>
                                <w:bottom w:val="none" w:sz="0" w:space="0" w:color="auto"/>
                                <w:right w:val="none" w:sz="0" w:space="0" w:color="auto"/>
                              </w:divBdr>
                            </w:div>
                            <w:div w:id="107107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937302">
      <w:bodyDiv w:val="1"/>
      <w:marLeft w:val="0"/>
      <w:marRight w:val="0"/>
      <w:marTop w:val="0"/>
      <w:marBottom w:val="0"/>
      <w:divBdr>
        <w:top w:val="none" w:sz="0" w:space="0" w:color="auto"/>
        <w:left w:val="none" w:sz="0" w:space="0" w:color="auto"/>
        <w:bottom w:val="none" w:sz="0" w:space="0" w:color="auto"/>
        <w:right w:val="none" w:sz="0" w:space="0" w:color="auto"/>
      </w:divBdr>
    </w:div>
    <w:div w:id="1690594706">
      <w:bodyDiv w:val="1"/>
      <w:marLeft w:val="0"/>
      <w:marRight w:val="0"/>
      <w:marTop w:val="0"/>
      <w:marBottom w:val="0"/>
      <w:divBdr>
        <w:top w:val="none" w:sz="0" w:space="0" w:color="auto"/>
        <w:left w:val="none" w:sz="0" w:space="0" w:color="auto"/>
        <w:bottom w:val="none" w:sz="0" w:space="0" w:color="auto"/>
        <w:right w:val="none" w:sz="0" w:space="0" w:color="auto"/>
      </w:divBdr>
      <w:divsChild>
        <w:div w:id="1351957453">
          <w:marLeft w:val="0"/>
          <w:marRight w:val="0"/>
          <w:marTop w:val="0"/>
          <w:marBottom w:val="0"/>
          <w:divBdr>
            <w:top w:val="none" w:sz="0" w:space="0" w:color="auto"/>
            <w:left w:val="none" w:sz="0" w:space="0" w:color="auto"/>
            <w:bottom w:val="none" w:sz="0" w:space="0" w:color="auto"/>
            <w:right w:val="none" w:sz="0" w:space="0" w:color="auto"/>
          </w:divBdr>
          <w:divsChild>
            <w:div w:id="358432456">
              <w:marLeft w:val="0"/>
              <w:marRight w:val="0"/>
              <w:marTop w:val="0"/>
              <w:marBottom w:val="0"/>
              <w:divBdr>
                <w:top w:val="none" w:sz="0" w:space="0" w:color="auto"/>
                <w:left w:val="none" w:sz="0" w:space="0" w:color="auto"/>
                <w:bottom w:val="none" w:sz="0" w:space="0" w:color="auto"/>
                <w:right w:val="none" w:sz="0" w:space="0" w:color="auto"/>
              </w:divBdr>
            </w:div>
            <w:div w:id="113065424">
              <w:marLeft w:val="300"/>
              <w:marRight w:val="0"/>
              <w:marTop w:val="0"/>
              <w:marBottom w:val="0"/>
              <w:divBdr>
                <w:top w:val="none" w:sz="0" w:space="0" w:color="auto"/>
                <w:left w:val="none" w:sz="0" w:space="0" w:color="auto"/>
                <w:bottom w:val="none" w:sz="0" w:space="0" w:color="auto"/>
                <w:right w:val="none" w:sz="0" w:space="0" w:color="auto"/>
              </w:divBdr>
            </w:div>
            <w:div w:id="1638803134">
              <w:marLeft w:val="300"/>
              <w:marRight w:val="0"/>
              <w:marTop w:val="0"/>
              <w:marBottom w:val="0"/>
              <w:divBdr>
                <w:top w:val="none" w:sz="0" w:space="0" w:color="auto"/>
                <w:left w:val="none" w:sz="0" w:space="0" w:color="auto"/>
                <w:bottom w:val="none" w:sz="0" w:space="0" w:color="auto"/>
                <w:right w:val="none" w:sz="0" w:space="0" w:color="auto"/>
              </w:divBdr>
            </w:div>
            <w:div w:id="1283147387">
              <w:marLeft w:val="0"/>
              <w:marRight w:val="0"/>
              <w:marTop w:val="0"/>
              <w:marBottom w:val="0"/>
              <w:divBdr>
                <w:top w:val="none" w:sz="0" w:space="0" w:color="auto"/>
                <w:left w:val="none" w:sz="0" w:space="0" w:color="auto"/>
                <w:bottom w:val="none" w:sz="0" w:space="0" w:color="auto"/>
                <w:right w:val="none" w:sz="0" w:space="0" w:color="auto"/>
              </w:divBdr>
            </w:div>
            <w:div w:id="2051683093">
              <w:marLeft w:val="60"/>
              <w:marRight w:val="0"/>
              <w:marTop w:val="0"/>
              <w:marBottom w:val="0"/>
              <w:divBdr>
                <w:top w:val="none" w:sz="0" w:space="0" w:color="auto"/>
                <w:left w:val="none" w:sz="0" w:space="0" w:color="auto"/>
                <w:bottom w:val="none" w:sz="0" w:space="0" w:color="auto"/>
                <w:right w:val="none" w:sz="0" w:space="0" w:color="auto"/>
              </w:divBdr>
            </w:div>
          </w:divsChild>
        </w:div>
        <w:div w:id="676734024">
          <w:marLeft w:val="0"/>
          <w:marRight w:val="0"/>
          <w:marTop w:val="0"/>
          <w:marBottom w:val="0"/>
          <w:divBdr>
            <w:top w:val="none" w:sz="0" w:space="0" w:color="auto"/>
            <w:left w:val="none" w:sz="0" w:space="0" w:color="auto"/>
            <w:bottom w:val="none" w:sz="0" w:space="0" w:color="auto"/>
            <w:right w:val="none" w:sz="0" w:space="0" w:color="auto"/>
          </w:divBdr>
          <w:divsChild>
            <w:div w:id="1972007868">
              <w:marLeft w:val="0"/>
              <w:marRight w:val="0"/>
              <w:marTop w:val="120"/>
              <w:marBottom w:val="0"/>
              <w:divBdr>
                <w:top w:val="none" w:sz="0" w:space="0" w:color="auto"/>
                <w:left w:val="none" w:sz="0" w:space="0" w:color="auto"/>
                <w:bottom w:val="none" w:sz="0" w:space="0" w:color="auto"/>
                <w:right w:val="none" w:sz="0" w:space="0" w:color="auto"/>
              </w:divBdr>
              <w:divsChild>
                <w:div w:id="133523630">
                  <w:marLeft w:val="0"/>
                  <w:marRight w:val="0"/>
                  <w:marTop w:val="0"/>
                  <w:marBottom w:val="0"/>
                  <w:divBdr>
                    <w:top w:val="none" w:sz="0" w:space="0" w:color="auto"/>
                    <w:left w:val="none" w:sz="0" w:space="0" w:color="auto"/>
                    <w:bottom w:val="none" w:sz="0" w:space="0" w:color="auto"/>
                    <w:right w:val="none" w:sz="0" w:space="0" w:color="auto"/>
                  </w:divBdr>
                  <w:divsChild>
                    <w:div w:id="1236237197">
                      <w:marLeft w:val="0"/>
                      <w:marRight w:val="0"/>
                      <w:marTop w:val="0"/>
                      <w:marBottom w:val="0"/>
                      <w:divBdr>
                        <w:top w:val="none" w:sz="0" w:space="0" w:color="auto"/>
                        <w:left w:val="none" w:sz="0" w:space="0" w:color="auto"/>
                        <w:bottom w:val="none" w:sz="0" w:space="0" w:color="auto"/>
                        <w:right w:val="none" w:sz="0" w:space="0" w:color="auto"/>
                      </w:divBdr>
                      <w:divsChild>
                        <w:div w:id="147981147">
                          <w:marLeft w:val="0"/>
                          <w:marRight w:val="0"/>
                          <w:marTop w:val="0"/>
                          <w:marBottom w:val="0"/>
                          <w:divBdr>
                            <w:top w:val="none" w:sz="0" w:space="0" w:color="auto"/>
                            <w:left w:val="none" w:sz="0" w:space="0" w:color="auto"/>
                            <w:bottom w:val="none" w:sz="0" w:space="0" w:color="auto"/>
                            <w:right w:val="none" w:sz="0" w:space="0" w:color="auto"/>
                          </w:divBdr>
                          <w:divsChild>
                            <w:div w:id="976958718">
                              <w:marLeft w:val="0"/>
                              <w:marRight w:val="0"/>
                              <w:marTop w:val="0"/>
                              <w:marBottom w:val="0"/>
                              <w:divBdr>
                                <w:top w:val="none" w:sz="0" w:space="0" w:color="auto"/>
                                <w:left w:val="none" w:sz="0" w:space="0" w:color="auto"/>
                                <w:bottom w:val="none" w:sz="0" w:space="0" w:color="auto"/>
                                <w:right w:val="none" w:sz="0" w:space="0" w:color="auto"/>
                              </w:divBdr>
                            </w:div>
                            <w:div w:id="478151519">
                              <w:marLeft w:val="0"/>
                              <w:marRight w:val="0"/>
                              <w:marTop w:val="0"/>
                              <w:marBottom w:val="0"/>
                              <w:divBdr>
                                <w:top w:val="none" w:sz="0" w:space="0" w:color="auto"/>
                                <w:left w:val="none" w:sz="0" w:space="0" w:color="auto"/>
                                <w:bottom w:val="none" w:sz="0" w:space="0" w:color="auto"/>
                                <w:right w:val="none" w:sz="0" w:space="0" w:color="auto"/>
                              </w:divBdr>
                            </w:div>
                            <w:div w:id="1587109619">
                              <w:marLeft w:val="0"/>
                              <w:marRight w:val="0"/>
                              <w:marTop w:val="0"/>
                              <w:marBottom w:val="0"/>
                              <w:divBdr>
                                <w:top w:val="none" w:sz="0" w:space="0" w:color="auto"/>
                                <w:left w:val="none" w:sz="0" w:space="0" w:color="auto"/>
                                <w:bottom w:val="none" w:sz="0" w:space="0" w:color="auto"/>
                                <w:right w:val="none" w:sz="0" w:space="0" w:color="auto"/>
                              </w:divBdr>
                            </w:div>
                            <w:div w:id="1181816590">
                              <w:marLeft w:val="0"/>
                              <w:marRight w:val="0"/>
                              <w:marTop w:val="0"/>
                              <w:marBottom w:val="0"/>
                              <w:divBdr>
                                <w:top w:val="none" w:sz="0" w:space="0" w:color="auto"/>
                                <w:left w:val="none" w:sz="0" w:space="0" w:color="auto"/>
                                <w:bottom w:val="none" w:sz="0" w:space="0" w:color="auto"/>
                                <w:right w:val="none" w:sz="0" w:space="0" w:color="auto"/>
                              </w:divBdr>
                            </w:div>
                            <w:div w:id="22931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ukrstat.gov.ua/"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s://globalfindex.worldbank.org/no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of.gov.ua/storage/files/Strategija_financovogo_sectoru_ua.pdf" TargetMode="External"/><Relationship Id="rId11" Type="http://schemas.openxmlformats.org/officeDocument/2006/relationships/hyperlink" Target="http://www.fst-ua.info/wp-content/uploads/2019/06/Financial-Literacy-Survey-Report_June2019_ua.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nk.gov.ua/news/all/regulyatori-finansovogo-rinku-zatverdili-strategiyu-rozvitku-finansovogo-sektoru-ukrayini-do-2025-roku" TargetMode="External"/><Relationship Id="rId4" Type="http://schemas.openxmlformats.org/officeDocument/2006/relationships/settings" Target="settings.xml"/><Relationship Id="rId9" Type="http://schemas.openxmlformats.org/officeDocument/2006/relationships/hyperlink" Target="https://ojs.ukrlogos.in.ua/index.%20php/logos/index" TargetMode="External"/><Relationship Id="rId14" Type="http://schemas.openxmlformats.org/officeDocument/2006/relationships/hyperlink" Target="https://bank.gov.ua/markets/abou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1468</Words>
  <Characters>8372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2</cp:revision>
  <dcterms:created xsi:type="dcterms:W3CDTF">2020-05-15T02:59:00Z</dcterms:created>
  <dcterms:modified xsi:type="dcterms:W3CDTF">2020-05-15T02:59:00Z</dcterms:modified>
</cp:coreProperties>
</file>