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01" w:rsidRPr="001C3DA8" w:rsidRDefault="00016F01" w:rsidP="00016F0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C3DA8">
        <w:rPr>
          <w:rFonts w:ascii="Times New Roman" w:hAnsi="Times New Roman"/>
          <w:b/>
          <w:sz w:val="24"/>
          <w:szCs w:val="24"/>
        </w:rPr>
        <w:t>УДК 334.012</w:t>
      </w:r>
    </w:p>
    <w:p w:rsidR="00016F01" w:rsidRPr="001C3DA8" w:rsidRDefault="00016F01" w:rsidP="00016F01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1C3DA8">
        <w:rPr>
          <w:rFonts w:ascii="Times New Roman" w:hAnsi="Times New Roman"/>
          <w:b/>
          <w:i/>
          <w:sz w:val="24"/>
          <w:szCs w:val="24"/>
        </w:rPr>
        <w:t>Коба Олена Вікторівна</w:t>
      </w:r>
    </w:p>
    <w:p w:rsidR="00016F01" w:rsidRPr="001C3DA8" w:rsidRDefault="00016F01" w:rsidP="00016F01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C3DA8">
        <w:rPr>
          <w:rFonts w:ascii="Times New Roman" w:hAnsi="Times New Roman"/>
          <w:i/>
          <w:sz w:val="24"/>
          <w:szCs w:val="24"/>
        </w:rPr>
        <w:t>кандидат технічних наук, доцент</w:t>
      </w:r>
    </w:p>
    <w:p w:rsidR="00016F01" w:rsidRPr="001C3DA8" w:rsidRDefault="00016F01" w:rsidP="00016F01">
      <w:pPr>
        <w:spacing w:after="0" w:line="240" w:lineRule="auto"/>
        <w:ind w:firstLine="5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C3DA8">
        <w:rPr>
          <w:rFonts w:ascii="Times New Roman" w:hAnsi="Times New Roman"/>
          <w:i/>
          <w:sz w:val="24"/>
          <w:szCs w:val="24"/>
        </w:rPr>
        <w:t>Національний університет «Полтавська політехніка імені Юрія Кондратюка»</w:t>
      </w:r>
    </w:p>
    <w:p w:rsidR="00016F01" w:rsidRPr="001C3DA8" w:rsidRDefault="00016F01" w:rsidP="00016F01">
      <w:pPr>
        <w:spacing w:after="0" w:line="240" w:lineRule="auto"/>
        <w:ind w:firstLine="54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16F01" w:rsidRPr="001C3DA8" w:rsidRDefault="000D7881" w:rsidP="00016F01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ПРОБЛЕМИ ЗАБЕЗПЕЧЕННЯ ЕКОНОМІЧНОЇ БЕЗПЕКИ БУДІВЕЛЬНОЇ ГАЛУЗІ УКРАЇНИ В УМОВАХ ВІЙСЬКОВОГО СТАНУ  </w:t>
      </w:r>
    </w:p>
    <w:p w:rsidR="00016F01" w:rsidRPr="00016F01" w:rsidRDefault="00016F01" w:rsidP="00016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Default="002627CC" w:rsidP="00016F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Будівельна галузь України в умовах військового стану продовжує ефективно працювати, забезпечуючи потреби держави</w:t>
      </w:r>
      <w:r w:rsidR="006629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Про це свідчить поступове відновлення обсягів виробленої будівельної продукції</w:t>
      </w:r>
      <w:r w:rsidR="005A53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(рисунок 1)</w:t>
      </w:r>
      <w:r w:rsidR="006629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зростання питомої ваги нового будівництва у загальному обсязі будівельних робіт</w:t>
      </w:r>
      <w:r w:rsidR="00910C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(рисунок 2).</w:t>
      </w:r>
    </w:p>
    <w:p w:rsidR="006629D5" w:rsidRDefault="006629D5" w:rsidP="00016F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10CD2" w:rsidRDefault="00910CD2" w:rsidP="003E56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drawing>
          <wp:inline distT="0" distB="0" distL="0" distR="0">
            <wp:extent cx="5996686" cy="2950464"/>
            <wp:effectExtent l="19050" t="0" r="406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85CCC" w:rsidRDefault="00F85CCC" w:rsidP="005A5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Рисунок 1 – 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Обсяг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виробленої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будівельної продукції за видами </w:t>
      </w:r>
      <w:r w:rsidR="005A53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Україні 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20</w:t>
      </w:r>
      <w:r w:rsidR="005A53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20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-2024 роках</w:t>
      </w:r>
      <w:r w:rsidR="003E56A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3E56A0">
        <w:rPr>
          <w:rFonts w:ascii="Times New Roman" w:hAnsi="Times New Roman"/>
          <w:sz w:val="28"/>
          <w:szCs w:val="28"/>
        </w:rPr>
        <w:t>млн. грн.</w:t>
      </w:r>
    </w:p>
    <w:p w:rsidR="005A53BC" w:rsidRPr="003E56A0" w:rsidRDefault="005A53BC" w:rsidP="005A53B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E56A0">
        <w:rPr>
          <w:rFonts w:ascii="Times New Roman" w:hAnsi="Times New Roman"/>
          <w:i/>
          <w:sz w:val="24"/>
          <w:szCs w:val="24"/>
        </w:rPr>
        <w:t>Розроблено автором за [1]</w:t>
      </w:r>
    </w:p>
    <w:p w:rsidR="005A53BC" w:rsidRDefault="005A53BC" w:rsidP="00016F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A53BC" w:rsidRDefault="005A53BC" w:rsidP="003E56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drawing>
          <wp:inline distT="0" distB="0" distL="0" distR="0">
            <wp:extent cx="5991098" cy="2932176"/>
            <wp:effectExtent l="1905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Рисунок 2 – 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Обсяг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виробленої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будівельної продукції </w:t>
      </w:r>
      <w:r w:rsidRPr="0066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 характером будівництва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Україні 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20</w:t>
      </w:r>
      <w:r w:rsidRPr="00F85C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-2024 роках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%</w:t>
      </w:r>
    </w:p>
    <w:p w:rsidR="003E56A0" w:rsidRPr="003E56A0" w:rsidRDefault="003E56A0" w:rsidP="003E56A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E56A0">
        <w:rPr>
          <w:rFonts w:ascii="Times New Roman" w:hAnsi="Times New Roman"/>
          <w:i/>
          <w:sz w:val="24"/>
          <w:szCs w:val="24"/>
        </w:rPr>
        <w:t>Розроблено автором за [1]</w:t>
      </w: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Проте,</w:t>
      </w:r>
      <w:r w:rsidR="00FF364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її розвиток значно ускладнюється через певне коло проблем, о перешкоджають забезпеченню економічної безпеки будівельної галузі рисунок 3). </w:t>
      </w:r>
    </w:p>
    <w:p w:rsidR="00FF3648" w:rsidRDefault="00FF3648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400E5A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pict>
          <v:group id="_x0000_s1046" style="position:absolute;left:0;text-align:left;margin-left:4.9pt;margin-top:3.85pt;width:476.25pt;height:249.75pt;z-index:251713536" coordorigin="1515,1680" coordsize="9645,4995">
            <v:oval id="_x0000_s1026" style="position:absolute;left:4439;top:3300;width:3720;height:1860" o:regroupid="2" fillcolor="#f2f2f2 [3052]">
              <v:shadow on="t" opacity=".5" offset="6pt,-6pt"/>
              <v:textbox style="mso-next-textbox:#_x0000_s1026">
                <w:txbxContent>
                  <w:p w:rsidR="00523DB7" w:rsidRPr="00523DB7" w:rsidRDefault="00523DB7" w:rsidP="00523DB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Проблеми забезпечення економічної безпеки будівельної галузі</w:t>
                    </w:r>
                  </w:p>
                </w:txbxContent>
              </v:textbox>
            </v:oval>
            <v:roundrect id="_x0000_s1028" style="position:absolute;left:1995;top:1755;width:2550;height:1545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28">
                <w:txbxContent>
                  <w:p w:rsidR="00523DB7" w:rsidRPr="00523DB7" w:rsidRDefault="00523DB7" w:rsidP="00523DB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16F01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Руйнування виробничих потужностей та інфраструктури</w:t>
                    </w:r>
                  </w:p>
                </w:txbxContent>
              </v:textbox>
            </v:roundrect>
            <v:roundrect id="_x0000_s1029" style="position:absolute;left:4920;top:1755;width:2550;height:1185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29">
                <w:txbxContent>
                  <w:p w:rsidR="00523DB7" w:rsidRPr="00523DB7" w:rsidRDefault="00523DB7" w:rsidP="00523DB7">
                    <w:pPr>
                      <w:jc w:val="center"/>
                    </w:pPr>
                    <w:r w:rsidRPr="00016F01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Дефіцит кваліфікованої робочої сили</w:t>
                    </w:r>
                  </w:p>
                </w:txbxContent>
              </v:textbox>
            </v:roundrect>
            <v:roundrect id="_x0000_s1030" style="position:absolute;left:7860;top:1680;width:2550;height:1545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30">
                <w:txbxContent>
                  <w:p w:rsidR="00523DB7" w:rsidRPr="00523DB7" w:rsidRDefault="00523DB7" w:rsidP="00523DB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Зростання вартості</w:t>
                    </w:r>
                    <w:r w:rsidRPr="00016F01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 xml:space="preserve"> та дефіцит будівельних матеріалів</w:t>
                    </w:r>
                  </w:p>
                </w:txbxContent>
              </v:textbox>
            </v:roundrect>
            <v:roundrect id="_x0000_s1031" style="position:absolute;left:1515;top:3615;width:2550;height:1170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31">
                <w:txbxContent>
                  <w:p w:rsidR="00523DB7" w:rsidRPr="00523DB7" w:rsidRDefault="00523DB7" w:rsidP="00523DB7">
                    <w:pPr>
                      <w:jc w:val="center"/>
                    </w:pPr>
                    <w:r w:rsidRPr="00016F01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Корупційні ризики та неефективне управління</w:t>
                    </w:r>
                  </w:p>
                </w:txbxContent>
              </v:textbox>
            </v:roundrect>
            <v:roundrect id="_x0000_s1032" style="position:absolute;left:8610;top:3540;width:2550;height:1170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32">
                <w:txbxContent>
                  <w:p w:rsidR="00523DB7" w:rsidRPr="00523DB7" w:rsidRDefault="00523DB7" w:rsidP="00523DB7">
                    <w:pPr>
                      <w:jc w:val="center"/>
                    </w:pPr>
                    <w:proofErr w:type="spellStart"/>
                    <w:r w:rsidRPr="00523DB7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Безпекові</w:t>
                    </w:r>
                    <w:proofErr w:type="spellEnd"/>
                    <w:r w:rsidRPr="00523DB7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 xml:space="preserve"> ризики та </w:t>
                    </w:r>
                    <w:proofErr w:type="spellStart"/>
                    <w:r w:rsidRPr="00523DB7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замінування</w:t>
                    </w:r>
                    <w:proofErr w:type="spellEnd"/>
                    <w:r w:rsidRPr="00523DB7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 xml:space="preserve"> територій</w:t>
                    </w:r>
                  </w:p>
                </w:txbxContent>
              </v:textbox>
            </v:roundrect>
            <v:roundrect id="_x0000_s1033" style="position:absolute;left:2100;top:5055;width:2550;height:1545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33">
                <w:txbxContent>
                  <w:p w:rsidR="00523DB7" w:rsidRPr="00523DB7" w:rsidRDefault="00523DB7" w:rsidP="00523DB7">
                    <w:pPr>
                      <w:jc w:val="center"/>
                    </w:pPr>
                    <w:r w:rsidRPr="00016F01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Фінансові обмеження та низька інвестиційна активність</w:t>
                    </w:r>
                  </w:p>
                </w:txbxContent>
              </v:textbox>
            </v:roundrect>
            <v:roundrect id="_x0000_s1034" style="position:absolute;left:4995;top:5475;width:2550;height:1200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34">
                <w:txbxContent>
                  <w:p w:rsidR="00523DB7" w:rsidRPr="00523DB7" w:rsidRDefault="00523DB7" w:rsidP="00523DB7">
                    <w:pPr>
                      <w:jc w:val="center"/>
                    </w:pPr>
                    <w:r w:rsidRPr="00016F01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Законодавчі та регуляторні перешкоди</w:t>
                    </w:r>
                  </w:p>
                </w:txbxContent>
              </v:textbox>
            </v:roundrect>
            <v:roundrect id="_x0000_s1035" style="position:absolute;left:7950;top:5055;width:2550;height:1545" arcsize="10923f" o:regroupid="2" fillcolor="#d8d8d8 [2732]">
              <v:fill color2="fill lighten(51)" angle="-135" focusposition=".5,.5" focussize="" method="linear sigma" focus="100%" type="gradient"/>
              <v:shadow on="t" opacity=".5" offset="6pt,-6pt"/>
              <v:textbox style="mso-next-textbox:#_x0000_s1035">
                <w:txbxContent>
                  <w:p w:rsidR="00FF3648" w:rsidRDefault="00FF3648" w:rsidP="00FF364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523DB7" w:rsidRPr="00523DB7" w:rsidRDefault="00523DB7" w:rsidP="00FF364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Руйнування логістичних зв’язків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4439;top:3225;width:481;height:315;flip:x y" o:connectortype="straight" o:regroupid="2" strokecolor="#7f7f7f [1612]" strokeweight="2pt">
              <v:stroke endarrow="block"/>
            </v:shape>
            <v:shape id="_x0000_s1037" type="#_x0000_t32" style="position:absolute;left:4545;top:4920;width:375;height:240;flip:x" o:connectortype="straight" o:regroupid="2" strokecolor="#7f7f7f [1612]" strokeweight="2pt">
              <v:stroke endarrow="block"/>
            </v:shape>
            <v:shape id="_x0000_s1038" type="#_x0000_t32" style="position:absolute;left:6271;top:2940;width:1;height:285;flip:x y" o:connectortype="straight" o:regroupid="2" strokecolor="#7f7f7f [1612]" strokeweight="2pt">
              <v:stroke endarrow="block"/>
            </v:shape>
            <v:shape id="_x0000_s1039" type="#_x0000_t32" style="position:absolute;left:6270;top:5160;width:2;height:315;flip:x" o:connectortype="straight" o:regroupid="2" strokecolor="#7f7f7f [1612]" strokeweight="2pt">
              <v:stroke endarrow="block"/>
            </v:shape>
            <v:shape id="_x0000_s1040" type="#_x0000_t32" style="position:absolute;left:7650;top:3090;width:300;height:315;flip:y" o:connectortype="straight" o:regroupid="2" strokecolor="#7f7f7f [1612]" strokeweight="2pt">
              <v:stroke endarrow="block"/>
            </v:shape>
            <v:shape id="_x0000_s1041" type="#_x0000_t32" style="position:absolute;left:7740;top:4785;width:315;height:270" o:connectortype="straight" o:regroupid="2" strokecolor="#7f7f7f [1612]" strokeweight="2pt">
              <v:stroke endarrow="block"/>
            </v:shape>
            <v:shape id="_x0000_s1042" type="#_x0000_t32" style="position:absolute;left:4065;top:4125;width:374;height:0;flip:x" o:connectortype="straight" o:regroupid="2" strokecolor="#7f7f7f [1612]" strokeweight="2pt">
              <v:stroke endarrow="block"/>
            </v:shape>
            <v:shape id="_x0000_s1043" type="#_x0000_t32" style="position:absolute;left:8160;top:4125;width:450;height:0" o:connectortype="straight" o:regroupid="2" strokecolor="#7f7f7f [1612]" strokeweight="2pt">
              <v:stroke endarrow="block"/>
            </v:shape>
          </v:group>
        </w:pict>
      </w: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E56A0" w:rsidRDefault="003E56A0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23DB7" w:rsidRDefault="00523DB7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23DB7" w:rsidRDefault="00523DB7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23DB7" w:rsidRDefault="00523DB7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23DB7" w:rsidRDefault="00523DB7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23DB7" w:rsidRDefault="00523DB7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23DB7" w:rsidRDefault="00523DB7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523DB7" w:rsidRDefault="00523DB7" w:rsidP="003E56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07267" w:rsidRDefault="00A07267" w:rsidP="00FF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F3648" w:rsidRPr="00523DB7" w:rsidRDefault="00FF3648" w:rsidP="00FF3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Рисунок 3 – </w:t>
      </w:r>
      <w:r>
        <w:rPr>
          <w:rFonts w:ascii="Times New Roman" w:hAnsi="Times New Roman" w:cs="Times New Roman"/>
          <w:sz w:val="24"/>
          <w:szCs w:val="24"/>
        </w:rPr>
        <w:t>Проблеми забезпечення економічної безпеки будівельної галузі в умовах військового стану</w:t>
      </w:r>
    </w:p>
    <w:p w:rsidR="00FF3648" w:rsidRPr="003E56A0" w:rsidRDefault="00FF3648" w:rsidP="00FF364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E56A0">
        <w:rPr>
          <w:rFonts w:ascii="Times New Roman" w:hAnsi="Times New Roman"/>
          <w:i/>
          <w:sz w:val="24"/>
          <w:szCs w:val="24"/>
        </w:rPr>
        <w:t xml:space="preserve">Розроблено автором </w:t>
      </w:r>
    </w:p>
    <w:p w:rsidR="00523DB7" w:rsidRDefault="00523DB7" w:rsidP="00FF3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6F01" w:rsidRPr="00016F01" w:rsidRDefault="00FF3648" w:rsidP="00031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усунення означених проблем потрібні дієві дії не тільки на рівні будівельних компаній, а й на державному рівні. </w:t>
      </w:r>
      <w:r w:rsidR="006850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озвитку галузі і її економічній безпеці сприятиме впровадження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реалізація державних програм пільгового кредитування, компенсації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кредитних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ставок, надання грантів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різних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видів фінансової підтримки для будівельних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компаній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85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Потрібно </w:t>
      </w:r>
      <w:r w:rsidR="006850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ктивн</w:t>
      </w:r>
      <w:r w:rsidR="00685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співпрацювати 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з міжнародними фінансовими організаціями, донорами та приватними інвесторами</w:t>
      </w:r>
      <w:r w:rsidR="00685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об залучити інвестиції у відновлення країни та нове будівництво. Слід продовжити  процес цифровізації галузі і спрощення </w:t>
      </w:r>
      <w:r w:rsidR="00016F01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регуляторних</w:t>
      </w:r>
      <w:r w:rsidR="006850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й дозвільних</w:t>
      </w:r>
      <w:r w:rsidR="00016F01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процедур</w:t>
      </w:r>
      <w:r w:rsidR="006850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що дозволить створити сприятливий інвестиційний клімат 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в будівельній галузі.</w:t>
      </w:r>
      <w:r w:rsidR="00685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Важливим кроком в напрямку економічної безпеки галузі має стати розвиток </w:t>
      </w:r>
      <w:r w:rsidR="00685097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виробництва якісних та конкурентоспроможних будівельних матеріалів</w:t>
      </w:r>
      <w:r w:rsidR="00685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Такий крок зменшить залежність галузі від імпорту та знизить собівартість будівельних робіт. 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Будівельна галузь України в післявоєнний період має стати осередком сучасних </w:t>
      </w:r>
      <w:r w:rsidR="00031AF8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інноваційних технологій та </w:t>
      </w:r>
      <w:proofErr w:type="spellStart"/>
      <w:r w:rsidR="00031AF8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енергоефекти</w:t>
      </w:r>
      <w:r w:rsidR="00031AF8" w:rsidRPr="0068509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 w:rsidR="00031AF8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них</w:t>
      </w:r>
      <w:proofErr w:type="spellEnd"/>
      <w:r w:rsidR="00031AF8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рішень</w:t>
      </w:r>
      <w:r w:rsidR="00031A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тільки за таких умов можливе швидке і якісне відновлення країни. </w:t>
      </w:r>
      <w:r w:rsidR="00685097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Необхідно організувати п</w:t>
      </w:r>
      <w:r w:rsidR="00016F01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ідготовк</w:t>
      </w:r>
      <w:r w:rsidR="006850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016F01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850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кваліфікованих кадрів. Це певною мірою, сприятиме і забезпеченню зайнятості внутрішньо переміщених осіб, ветеранів. </w:t>
      </w:r>
      <w:r w:rsidR="00031A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Економічна безпека будівельного галузі напряму залежить від 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провадження ефективних механізмів контролю за використанням бюджетних коштів, забезпечення прозорості закупівель та боротьб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корупці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>єю. Д</w:t>
      </w:r>
      <w:r w:rsidR="00031AF8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ля залучення інвестицій та захисту інтересів учасників ринку</w:t>
      </w:r>
      <w:r w:rsidR="00031AF8" w:rsidRPr="00016F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31A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 час дії військового стану потрібно забезпечити страхування </w:t>
      </w:r>
      <w:r w:rsidR="00031AF8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будівельних проектів від воєнних ризиків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>, їх реалізацію</w:t>
      </w:r>
      <w:r w:rsidR="00016F01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відносно безпечних регіонах.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16F01" w:rsidRPr="00016F01" w:rsidRDefault="00016F01" w:rsidP="00016F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Успішна реалізація 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цих заходів потребує </w:t>
      </w:r>
      <w:proofErr w:type="spellStart"/>
      <w:r w:rsidR="00031AF8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потребує</w:t>
      </w:r>
      <w:proofErr w:type="spellEnd"/>
      <w:r w:rsidR="00031AF8"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скоординованих зусиль держави, бізнесу та міжнародних партнерів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дозволить</w:t>
      </w:r>
      <w:r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створит</w:t>
      </w:r>
      <w:r w:rsidR="00031AF8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016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фундамент для відновлення економіки країни та забезпечення її сталого розвитку.</w:t>
      </w:r>
    </w:p>
    <w:p w:rsidR="00016F01" w:rsidRPr="001C3DA8" w:rsidRDefault="00016F01" w:rsidP="00016F0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pacing w:val="-5"/>
        </w:rPr>
      </w:pPr>
    </w:p>
    <w:p w:rsidR="00016F01" w:rsidRPr="008B2323" w:rsidRDefault="00016F01" w:rsidP="00016F0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2323">
        <w:rPr>
          <w:rFonts w:ascii="Times New Roman" w:hAnsi="Times New Roman"/>
          <w:b/>
          <w:sz w:val="24"/>
          <w:szCs w:val="24"/>
        </w:rPr>
        <w:t>Література</w:t>
      </w:r>
    </w:p>
    <w:p w:rsidR="00AE68FE" w:rsidRPr="00016F01" w:rsidRDefault="00FF3648" w:rsidP="006B094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648">
        <w:rPr>
          <w:rFonts w:ascii="Times New Roman" w:hAnsi="Times New Roman"/>
          <w:sz w:val="24"/>
          <w:szCs w:val="24"/>
        </w:rPr>
        <w:t>1.</w:t>
      </w:r>
      <w:r w:rsidRPr="00FF3648">
        <w:rPr>
          <w:rFonts w:ascii="Times New Roman" w:hAnsi="Times New Roman"/>
          <w:sz w:val="24"/>
          <w:szCs w:val="24"/>
        </w:rPr>
        <w:tab/>
        <w:t>Державна служба статистики України. URL: https://ukrstat.gov.ua/edrpoy/ukr/EDRPU_2022/kved/arh_kved_22.htm (дата звернення: 30.04.2025).</w:t>
      </w:r>
    </w:p>
    <w:sectPr w:rsidR="00AE68FE" w:rsidRPr="00016F01" w:rsidSect="007F7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65C8"/>
    <w:multiLevelType w:val="multilevel"/>
    <w:tmpl w:val="EFA8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E1961"/>
    <w:multiLevelType w:val="multilevel"/>
    <w:tmpl w:val="87DE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F01"/>
    <w:rsid w:val="00016F01"/>
    <w:rsid w:val="00031AF8"/>
    <w:rsid w:val="000D7881"/>
    <w:rsid w:val="001B1EF5"/>
    <w:rsid w:val="002627CC"/>
    <w:rsid w:val="00336A68"/>
    <w:rsid w:val="0038151E"/>
    <w:rsid w:val="003E56A0"/>
    <w:rsid w:val="00400E5A"/>
    <w:rsid w:val="00506808"/>
    <w:rsid w:val="00523DB7"/>
    <w:rsid w:val="00524829"/>
    <w:rsid w:val="005A53BC"/>
    <w:rsid w:val="006629D5"/>
    <w:rsid w:val="00676F9F"/>
    <w:rsid w:val="00685097"/>
    <w:rsid w:val="006A1E02"/>
    <w:rsid w:val="006B0940"/>
    <w:rsid w:val="007F0294"/>
    <w:rsid w:val="007F7386"/>
    <w:rsid w:val="00831D69"/>
    <w:rsid w:val="00850D2D"/>
    <w:rsid w:val="00910CD2"/>
    <w:rsid w:val="00911EBC"/>
    <w:rsid w:val="009D7C14"/>
    <w:rsid w:val="009F5B2E"/>
    <w:rsid w:val="00A07267"/>
    <w:rsid w:val="00BE59D4"/>
    <w:rsid w:val="00BF3815"/>
    <w:rsid w:val="00C17438"/>
    <w:rsid w:val="00C272C3"/>
    <w:rsid w:val="00CF406B"/>
    <w:rsid w:val="00D62CD3"/>
    <w:rsid w:val="00DC17BA"/>
    <w:rsid w:val="00EE5360"/>
    <w:rsid w:val="00EF550B"/>
    <w:rsid w:val="00F45022"/>
    <w:rsid w:val="00F640DD"/>
    <w:rsid w:val="00F85CCC"/>
    <w:rsid w:val="00FC4505"/>
    <w:rsid w:val="00FF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_x0000_s1037"/>
        <o:r id="V:Rule15" type="connector" idref="#_x0000_s1036"/>
        <o:r id="V:Rule16" type="connector" idref="#_x0000_s1041"/>
        <o:r id="V:Rule18" type="connector" idref="#_x0000_s1040"/>
        <o:r id="V:Rule20" type="connector" idref="#_x0000_s1038"/>
        <o:r id="V:Rule21" type="connector" idref="#_x0000_s1039"/>
        <o:r id="V:Rule25" type="connector" idref="#_x0000_s1042"/>
        <o:r id="V:Rule26" type="connector" idref="#_x0000_s1043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6F01"/>
    <w:rPr>
      <w:b/>
      <w:bCs/>
    </w:rPr>
  </w:style>
  <w:style w:type="character" w:customStyle="1" w:styleId="mdc-buttonlabel">
    <w:name w:val="mdc-button__label"/>
    <w:basedOn w:val="a0"/>
    <w:rsid w:val="00016F01"/>
  </w:style>
  <w:style w:type="paragraph" w:styleId="a5">
    <w:name w:val="Balloon Text"/>
    <w:basedOn w:val="a"/>
    <w:link w:val="a6"/>
    <w:uiPriority w:val="99"/>
    <w:semiHidden/>
    <w:unhideWhenUsed/>
    <w:rsid w:val="0001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F0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016F0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4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6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Будівлі</c:v>
                </c:pt>
              </c:strCache>
            </c:strRef>
          </c:tx>
          <c:dLbls>
            <c:dLbl>
              <c:idx val="0"/>
              <c:layout>
                <c:manualLayout>
                  <c:x val="9.530263882417718E-2"/>
                  <c:y val="-1.2913223140495868E-2"/>
                </c:manualLayout>
              </c:layout>
              <c:showVal val="1"/>
            </c:dLbl>
            <c:dLbl>
              <c:idx val="1"/>
              <c:layout>
                <c:manualLayout>
                  <c:x val="9.7420475242492352E-2"/>
                  <c:y val="1.2913223140495868E-2"/>
                </c:manualLayout>
              </c:layout>
              <c:showVal val="1"/>
            </c:dLbl>
            <c:dLbl>
              <c:idx val="2"/>
              <c:layout>
                <c:manualLayout>
                  <c:x val="9.530263882417718E-2"/>
                  <c:y val="-5.1653231491724703E-2"/>
                </c:manualLayout>
              </c:layout>
              <c:showVal val="1"/>
            </c:dLbl>
            <c:dLbl>
              <c:idx val="3"/>
              <c:layout>
                <c:manualLayout>
                  <c:x val="9.7420475242492352E-2"/>
                  <c:y val="-2.1522038567493042E-2"/>
                </c:manualLayout>
              </c:layout>
              <c:showVal val="1"/>
            </c:dLbl>
            <c:dLbl>
              <c:idx val="4"/>
              <c:layout>
                <c:manualLayout>
                  <c:x val="9.9538311660807371E-2"/>
                  <c:y val="-2.1522038567493042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80625.600000000006</c:v>
                </c:pt>
                <c:pt idx="1">
                  <c:v>102894.3</c:v>
                </c:pt>
                <c:pt idx="2">
                  <c:v>50172.5</c:v>
                </c:pt>
                <c:pt idx="3">
                  <c:v>65511.5</c:v>
                </c:pt>
                <c:pt idx="4">
                  <c:v>87605.9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Інженерні споруди</c:v>
                </c:pt>
              </c:strCache>
            </c:strRef>
          </c:tx>
          <c:dLbls>
            <c:dLbl>
              <c:idx val="0"/>
              <c:layout>
                <c:manualLayout>
                  <c:x val="6.5652928967766533E-2"/>
                  <c:y val="-0.19800275482093671"/>
                </c:manualLayout>
              </c:layout>
              <c:showVal val="1"/>
            </c:dLbl>
            <c:dLbl>
              <c:idx val="1"/>
              <c:layout>
                <c:manualLayout>
                  <c:x val="6.9888601804396724E-2"/>
                  <c:y val="-0.22813360881542699"/>
                </c:manualLayout>
              </c:layout>
              <c:showVal val="1"/>
            </c:dLbl>
            <c:dLbl>
              <c:idx val="2"/>
              <c:layout>
                <c:manualLayout>
                  <c:x val="4.8710237621246204E-2"/>
                  <c:y val="-0.12913223140495866"/>
                </c:manualLayout>
              </c:layout>
              <c:showVal val="1"/>
            </c:dLbl>
            <c:dLbl>
              <c:idx val="3"/>
              <c:layout>
                <c:manualLayout>
                  <c:x val="5.5063746876191325E-2"/>
                  <c:y val="-0.16787190082644629"/>
                </c:manualLayout>
              </c:layout>
              <c:showVal val="1"/>
            </c:dLbl>
            <c:dLbl>
              <c:idx val="4"/>
              <c:layout>
                <c:manualLayout>
                  <c:x val="6.5652928967766533E-2"/>
                  <c:y val="-0.19369834710743819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121455.2</c:v>
                </c:pt>
                <c:pt idx="1">
                  <c:v>155179.29999999999</c:v>
                </c:pt>
                <c:pt idx="2">
                  <c:v>64771.3</c:v>
                </c:pt>
                <c:pt idx="3">
                  <c:v>100306.7</c:v>
                </c:pt>
                <c:pt idx="4">
                  <c:v>122591.5</c:v>
                </c:pt>
              </c:numCache>
            </c:numRef>
          </c:val>
        </c:ser>
        <c:shape val="box"/>
        <c:axId val="120232576"/>
        <c:axId val="120234752"/>
        <c:axId val="0"/>
      </c:bar3DChart>
      <c:catAx>
        <c:axId val="1202325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20234752"/>
        <c:crosses val="autoZero"/>
        <c:auto val="1"/>
        <c:lblAlgn val="ctr"/>
        <c:lblOffset val="100"/>
      </c:catAx>
      <c:valAx>
        <c:axId val="1202347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20232576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b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Нове будівництво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29.6</c:v>
                </c:pt>
                <c:pt idx="1">
                  <c:v>29.6</c:v>
                </c:pt>
                <c:pt idx="2">
                  <c:v>36.6</c:v>
                </c:pt>
                <c:pt idx="3">
                  <c:v>35.9</c:v>
                </c:pt>
                <c:pt idx="4">
                  <c:v>40.800000000000004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Ремонт (капітальний та поточний)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45.1</c:v>
                </c:pt>
                <c:pt idx="1">
                  <c:v>45.1</c:v>
                </c:pt>
                <c:pt idx="2">
                  <c:v>38.800000000000004</c:v>
                </c:pt>
                <c:pt idx="3">
                  <c:v>42.8</c:v>
                </c:pt>
                <c:pt idx="4">
                  <c:v>32.800000000000004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Реконструкція та інше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25.3</c:v>
                </c:pt>
                <c:pt idx="1">
                  <c:v>25.3</c:v>
                </c:pt>
                <c:pt idx="2">
                  <c:v>24.6</c:v>
                </c:pt>
                <c:pt idx="3">
                  <c:v>21.3</c:v>
                </c:pt>
                <c:pt idx="4">
                  <c:v>26.4</c:v>
                </c:pt>
              </c:numCache>
            </c:numRef>
          </c:val>
        </c:ser>
        <c:shape val="box"/>
        <c:axId val="120377344"/>
        <c:axId val="120379648"/>
        <c:axId val="0"/>
      </c:bar3DChart>
      <c:catAx>
        <c:axId val="12037734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20379648"/>
        <c:crosses val="autoZero"/>
        <c:auto val="1"/>
        <c:lblAlgn val="ctr"/>
        <c:lblOffset val="100"/>
      </c:catAx>
      <c:valAx>
        <c:axId val="120379648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20377344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b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2025-05-09T21:12:00Z</dcterms:created>
  <dcterms:modified xsi:type="dcterms:W3CDTF">2025-05-09T21:13:00Z</dcterms:modified>
</cp:coreProperties>
</file>