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AA" w:rsidRPr="00B066AA" w:rsidRDefault="00B066AA" w:rsidP="00DD3093">
      <w:pPr>
        <w:pStyle w:val="Default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bookmarkStart w:id="0" w:name="_GoBack"/>
      <w:r w:rsidRPr="00B066AA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УДК </w:t>
      </w:r>
      <w:r w:rsidR="00DD3093">
        <w:t xml:space="preserve"> </w:t>
      </w:r>
      <w:r w:rsidR="00DD3093" w:rsidRPr="00DD3093">
        <w:rPr>
          <w:rFonts w:ascii="Times New Roman" w:hAnsi="Times New Roman" w:cs="Times New Roman"/>
          <w:b/>
          <w:sz w:val="28"/>
          <w:szCs w:val="28"/>
        </w:rPr>
        <w:t>655.3.022.91</w:t>
      </w:r>
    </w:p>
    <w:p w:rsidR="00B066AA" w:rsidRPr="00B066AA" w:rsidRDefault="00B066AA" w:rsidP="00B066AA">
      <w:pPr>
        <w:ind w:left="5387" w:hanging="4678"/>
        <w:jc w:val="right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B066AA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Чичуліна К.В., к.т.н.</w:t>
      </w:r>
      <w:r w:rsidR="00B767BF">
        <w:rPr>
          <w:rFonts w:ascii="Times New Roman" w:hAnsi="Times New Roman" w:cs="Times New Roman"/>
          <w:i/>
          <w:noProof/>
          <w:sz w:val="28"/>
          <w:szCs w:val="28"/>
          <w:lang w:val="uk-UA" w:eastAsia="uk-UA"/>
        </w:rPr>
        <w:t>, доцент</w:t>
      </w:r>
      <w:r w:rsidRPr="00B066AA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 xml:space="preserve"> </w:t>
      </w:r>
    </w:p>
    <w:p w:rsidR="00B066AA" w:rsidRPr="00B066AA" w:rsidRDefault="00B066AA" w:rsidP="00B066AA">
      <w:pPr>
        <w:ind w:left="5387" w:hanging="4678"/>
        <w:jc w:val="right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B066AA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 xml:space="preserve">Полтавський національний технічний </w:t>
      </w:r>
    </w:p>
    <w:p w:rsidR="00B066AA" w:rsidRPr="00B066AA" w:rsidRDefault="00B066AA" w:rsidP="00B066AA">
      <w:pPr>
        <w:ind w:left="5387" w:hanging="4678"/>
        <w:jc w:val="right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B066AA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університет імені Юрія Кондратюка</w:t>
      </w:r>
    </w:p>
    <w:p w:rsidR="004A0771" w:rsidRPr="00062A78" w:rsidRDefault="004A0771" w:rsidP="00062A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694724" w:rsidRPr="007974AA" w:rsidRDefault="007974AA" w:rsidP="00DD30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СУЧАСНІ ЦІНОВІ СТРАТЕГІЇ ТОРГОВЕЛЬНИХ ПІДПРИЄМСТВ</w:t>
      </w:r>
    </w:p>
    <w:p w:rsidR="004A0771" w:rsidRPr="00062A78" w:rsidRDefault="004A0771" w:rsidP="004A07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AU"/>
        </w:rPr>
      </w:pPr>
    </w:p>
    <w:bookmarkEnd w:id="0"/>
    <w:p w:rsidR="00B767BF" w:rsidRPr="00DD3093" w:rsidRDefault="004A0771" w:rsidP="002D7219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062A78">
        <w:rPr>
          <w:rFonts w:ascii="Times New Roman" w:hAnsi="Times New Roman" w:cs="Times New Roman"/>
          <w:sz w:val="28"/>
          <w:szCs w:val="28"/>
          <w:lang w:val="en-AU"/>
        </w:rPr>
        <w:tab/>
      </w:r>
      <w:r w:rsidR="00547137" w:rsidRPr="00B767BF">
        <w:rPr>
          <w:rFonts w:ascii="Times New Roman" w:hAnsi="Times New Roman" w:cs="Times New Roman"/>
          <w:sz w:val="28"/>
          <w:szCs w:val="28"/>
          <w:lang w:val="uk-UA"/>
        </w:rPr>
        <w:t xml:space="preserve">В умовах сучасного ринку </w:t>
      </w:r>
      <w:r w:rsidR="002D7219" w:rsidRPr="00B767BF">
        <w:rPr>
          <w:rFonts w:ascii="Times New Roman" w:hAnsi="Times New Roman" w:cs="Times New Roman"/>
          <w:sz w:val="28"/>
          <w:szCs w:val="28"/>
          <w:lang w:val="uk-UA"/>
        </w:rPr>
        <w:t>цінова стратегія являє собою рішення зміни ціни на товар враховуючи факторний вплив. Сформувавши цілі, торговельне підприємство пристосовуючись до ринкових умов, формує свою цінову стратегію</w:t>
      </w:r>
      <w:r w:rsidR="00DD3093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також</w:t>
      </w:r>
      <w:r w:rsidR="00DD3093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психологію </w:t>
      </w:r>
      <w:proofErr w:type="spellStart"/>
      <w:r w:rsidR="00DD3093" w:rsidRPr="00DD3093">
        <w:rPr>
          <w:rFonts w:ascii="Times New Roman" w:hAnsi="Times New Roman" w:cs="Times New Roman"/>
          <w:sz w:val="28"/>
          <w:szCs w:val="28"/>
          <w:lang w:val="uk-UA"/>
        </w:rPr>
        <w:t>ціносприйняття</w:t>
      </w:r>
      <w:proofErr w:type="spellEnd"/>
      <w:r w:rsidR="00DD3093" w:rsidRPr="00DD30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7219" w:rsidRPr="00B767BF">
        <w:rPr>
          <w:rFonts w:ascii="Times New Roman" w:hAnsi="Times New Roman" w:cs="Times New Roman"/>
          <w:sz w:val="28"/>
          <w:szCs w:val="28"/>
          <w:lang w:val="uk-UA"/>
        </w:rPr>
        <w:t xml:space="preserve">Цінові </w:t>
      </w:r>
      <w:r w:rsidR="00B767BF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</w:t>
      </w:r>
      <w:r w:rsidR="002D7219" w:rsidRPr="00B767BF">
        <w:rPr>
          <w:rFonts w:ascii="Times New Roman" w:hAnsi="Times New Roman" w:cs="Times New Roman"/>
          <w:sz w:val="28"/>
          <w:szCs w:val="28"/>
          <w:lang w:val="uk-UA"/>
        </w:rPr>
        <w:t xml:space="preserve">з одного боку є умовою позиціонування товару, а з 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>іншого - форму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>ться під впливом певних чинників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>, зокрема с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труктури ринку; 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оложення 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>торговельного підприємства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на ринку; життєв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цикл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>нікальності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>товару;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>піввідношення ціни та якості;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>онкурентоспроможності товару.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Приведені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фактори визначають лише загальні 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ціни. 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Розглядаючи ринкові реалії сьогодення, 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цінові стратегії формуються з урахуванням 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>іміджу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підприємства, популярності 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запропонованої 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>продук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>ції</w:t>
      </w:r>
      <w:r w:rsidR="002D7219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, а також реклами. 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Виділяють два принципово відмінних типи стратегій щодо цінового рівня: стратегія високих цін, стратегія низьких цін. Високі, «престижні» ціни </w:t>
      </w:r>
      <w:r w:rsidR="00DD3093" w:rsidRPr="00DD3093">
        <w:rPr>
          <w:rFonts w:ascii="Times New Roman" w:hAnsi="Times New Roman" w:cs="Times New Roman"/>
          <w:sz w:val="28"/>
          <w:szCs w:val="28"/>
          <w:lang w:val="uk-UA"/>
        </w:rPr>
        <w:t>відіграю</w:t>
      </w:r>
      <w:r w:rsidR="00DD3093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DD3093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 роль індикатора якості</w:t>
      </w:r>
      <w:r w:rsidR="00B767BF" w:rsidRPr="00DD3093">
        <w:rPr>
          <w:rFonts w:ascii="Times New Roman" w:hAnsi="Times New Roman" w:cs="Times New Roman"/>
          <w:sz w:val="28"/>
          <w:szCs w:val="28"/>
          <w:lang w:val="uk-UA"/>
        </w:rPr>
        <w:t xml:space="preserve">, обумовлену використанням коштовних матеріалів, ретельним виготовленням, суворим контролем, а також високим рівнем сервісу. Низькі ціни, привабливі для значної частини ринку, дозволяють збільшувати обсяги продажу товарів, вести активну цінову конкурентну боротьбу. </w:t>
      </w:r>
      <w:r w:rsidR="00DD3093">
        <w:rPr>
          <w:rFonts w:ascii="Times New Roman" w:hAnsi="Times New Roman" w:cs="Times New Roman"/>
          <w:sz w:val="28"/>
          <w:szCs w:val="28"/>
          <w:lang w:val="uk-UA"/>
        </w:rPr>
        <w:t>В ході проведеного дослідження була сформована класифікація сучасних цінових стратегій торговельних підприємств, яка найбільш відображає тенденції сучасного ринку (рис.1).</w:t>
      </w:r>
    </w:p>
    <w:tbl>
      <w:tblPr>
        <w:tblW w:w="9413" w:type="dxa"/>
        <w:tblInd w:w="-34" w:type="dxa"/>
        <w:tblLook w:val="01E0"/>
      </w:tblPr>
      <w:tblGrid>
        <w:gridCol w:w="2977"/>
        <w:gridCol w:w="165"/>
        <w:gridCol w:w="71"/>
        <w:gridCol w:w="49"/>
        <w:gridCol w:w="3000"/>
        <w:gridCol w:w="236"/>
        <w:gridCol w:w="79"/>
        <w:gridCol w:w="236"/>
        <w:gridCol w:w="169"/>
        <w:gridCol w:w="106"/>
        <w:gridCol w:w="130"/>
        <w:gridCol w:w="154"/>
        <w:gridCol w:w="2041"/>
      </w:tblGrid>
      <w:tr w:rsidR="007974AA" w:rsidRPr="007974AA" w:rsidTr="00A93721">
        <w:trPr>
          <w:trHeight w:val="2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74AA">
              <w:rPr>
                <w:rFonts w:ascii="Times New Roman" w:hAnsi="Times New Roman" w:cs="Times New Roman"/>
                <w:b/>
                <w:lang w:val="uk-UA"/>
              </w:rPr>
              <w:lastRenderedPageBreak/>
              <w:t>1. Підхід І</w:t>
            </w:r>
          </w:p>
          <w:p w:rsidR="007974AA" w:rsidRPr="007974AA" w:rsidRDefault="007974AA" w:rsidP="007974AA">
            <w:pPr>
              <w:spacing w:after="0" w:line="240" w:lineRule="auto"/>
              <w:ind w:left="612" w:hanging="37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974AA" w:rsidRPr="007974AA" w:rsidRDefault="007974AA" w:rsidP="00D110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1.1. стратегія преміального ціноутв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рення;</w:t>
            </w:r>
          </w:p>
          <w:p w:rsidR="007974AA" w:rsidRPr="007974AA" w:rsidRDefault="007974AA" w:rsidP="00D110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1.2. стратегія нейтрального ціноутворе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ня;</w:t>
            </w:r>
          </w:p>
          <w:p w:rsidR="007974AA" w:rsidRPr="007974AA" w:rsidRDefault="007974AA" w:rsidP="00D1100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1.3. стратегія цінового прориву (зниж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них цін)</w:t>
            </w:r>
          </w:p>
          <w:p w:rsidR="007974AA" w:rsidRPr="007974AA" w:rsidRDefault="007974AA" w:rsidP="007974AA">
            <w:pPr>
              <w:spacing w:after="0" w:line="240" w:lineRule="auto"/>
              <w:ind w:firstLine="24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74AA">
              <w:rPr>
                <w:rFonts w:ascii="Times New Roman" w:hAnsi="Times New Roman" w:cs="Times New Roman"/>
                <w:b/>
                <w:lang w:val="uk-UA"/>
              </w:rPr>
              <w:t>2. Підхід ІІ</w:t>
            </w:r>
          </w:p>
          <w:p w:rsidR="007974AA" w:rsidRPr="007974AA" w:rsidRDefault="007974AA" w:rsidP="00D1100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2.1. </w:t>
            </w:r>
            <w:proofErr w:type="spellStart"/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преміум-стратегія</w:t>
            </w:r>
            <w:proofErr w:type="spellEnd"/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дорогих товарів;</w:t>
            </w:r>
          </w:p>
          <w:p w:rsidR="007974AA" w:rsidRPr="007974AA" w:rsidRDefault="007974AA" w:rsidP="00D1100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2.2. стратегія глибокого проникне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ня на ринок;</w:t>
            </w:r>
          </w:p>
          <w:p w:rsidR="007974AA" w:rsidRPr="007974AA" w:rsidRDefault="007974AA" w:rsidP="00D1100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2.3. стратегія переваг;</w:t>
            </w:r>
          </w:p>
          <w:p w:rsidR="007974AA" w:rsidRPr="007974AA" w:rsidRDefault="007974AA" w:rsidP="00D1100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2.4. стратегія показного бли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ку;</w:t>
            </w:r>
          </w:p>
          <w:p w:rsidR="007974AA" w:rsidRPr="007974AA" w:rsidRDefault="007974AA" w:rsidP="00D1100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2.5. стратегія середніх цін;</w:t>
            </w:r>
          </w:p>
          <w:p w:rsidR="007974AA" w:rsidRPr="007974AA" w:rsidRDefault="007974AA" w:rsidP="00D1100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2.6. стратегія добросовісності;</w:t>
            </w:r>
          </w:p>
          <w:p w:rsidR="007974AA" w:rsidRPr="007974AA" w:rsidRDefault="007974AA" w:rsidP="00D1100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2.7. стратегія дешевих товарів (</w:t>
            </w:r>
            <w:proofErr w:type="spellStart"/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диск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унт</w:t>
            </w:r>
            <w:proofErr w:type="spellEnd"/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);</w:t>
            </w:r>
          </w:p>
          <w:p w:rsidR="007974AA" w:rsidRPr="007974AA" w:rsidRDefault="007974AA" w:rsidP="00D1100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2.8. стратегія завищених цін;</w:t>
            </w:r>
          </w:p>
          <w:p w:rsidR="007974AA" w:rsidRPr="007974AA" w:rsidRDefault="007974AA" w:rsidP="00D1100F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2.9. стратегія пограбування.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74AA">
              <w:rPr>
                <w:rFonts w:ascii="Times New Roman" w:hAnsi="Times New Roman" w:cs="Times New Roman"/>
                <w:b/>
                <w:lang w:val="uk-UA"/>
              </w:rPr>
              <w:t>3. Підхід ІІІ</w:t>
            </w:r>
          </w:p>
          <w:p w:rsidR="007974AA" w:rsidRPr="007974AA" w:rsidRDefault="007974AA" w:rsidP="00D1100F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3.1. більше за вищу ц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ну;</w:t>
            </w:r>
          </w:p>
          <w:p w:rsidR="007974AA" w:rsidRPr="007974AA" w:rsidRDefault="007974AA" w:rsidP="00D1100F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3.2. більше за ту саму за ц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ну;</w:t>
            </w:r>
          </w:p>
          <w:p w:rsidR="007974AA" w:rsidRPr="007974AA" w:rsidRDefault="007974AA" w:rsidP="00D1100F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3.3. те саме за меншу ц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ну;</w:t>
            </w:r>
          </w:p>
          <w:p w:rsidR="007974AA" w:rsidRPr="007974AA" w:rsidRDefault="007974AA" w:rsidP="00D1100F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3.4. менше за багато ме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шу ціну;</w:t>
            </w:r>
          </w:p>
          <w:p w:rsidR="007974AA" w:rsidRPr="007974AA" w:rsidRDefault="007974AA" w:rsidP="00D1100F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3.5. більше за меншу ціну.</w:t>
            </w:r>
          </w:p>
        </w:tc>
      </w:tr>
      <w:tr w:rsidR="007974AA" w:rsidRPr="007974AA" w:rsidTr="00A93721">
        <w:trPr>
          <w:trHeight w:val="27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AA" w:rsidRPr="007974AA" w:rsidRDefault="00A93721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_x0000_s1036" style="position:absolute;margin-left:84.6pt;margin-top:-.35pt;width:301.8pt;height:369.95pt;z-index:251670528;mso-position-horizontal-relative:text;mso-position-vertical-relative:text" coordorigin="3076,4044" coordsize="6036,7399">
                  <v:line id="_x0000_s1026" style="position:absolute;flip:x y" from="6049,4059" to="6072,4351">
                    <v:stroke endarrow="block"/>
                  </v:line>
                  <v:line id="_x0000_s1027" style="position:absolute;flip:y" from="7316,4044" to="9112,4404">
                    <v:stroke endarrow="block"/>
                  </v:line>
                  <v:line id="_x0000_s1028" style="position:absolute;flip:x y" from="3076,4059" to="4636,4404">
                    <v:stroke endarrow="block"/>
                  </v:line>
                  <v:line id="_x0000_s1029" style="position:absolute;flip:x" from="6049,6943" to="6049,7303">
                    <v:stroke endarrow="block"/>
                  </v:line>
                  <v:line id="_x0000_s1030" style="position:absolute" from="6277,8321" to="6289,8500">
                    <v:stroke endarrow="block"/>
                  </v:line>
                  <v:line id="_x0000_s1031" style="position:absolute;flip:y" from="7804,8129" to="8044,8309">
                    <v:stroke endarrow="block"/>
                  </v:line>
                  <v:line id="_x0000_s1032" style="position:absolute" from="7792,8321" to="9112,8547">
                    <v:stroke endarrow="block"/>
                  </v:line>
                  <v:line id="_x0000_s1033" style="position:absolute;flip:x" from="3360,8309" to="4512,8547">
                    <v:stroke endarrow="block"/>
                  </v:line>
                  <v:line id="_x0000_s1034" style="position:absolute;flip:x y" from="4258,8129" to="4512,8309">
                    <v:stroke endarrow="block"/>
                  </v:line>
                  <v:line id="_x0000_s1035" style="position:absolute;flip:x" from="4273,8321" to="4512,11443">
                    <v:stroke endarrow="block"/>
                  </v:line>
                </v:group>
              </w:pic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74AA" w:rsidRPr="007974AA" w:rsidTr="00A9372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B01BC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74AA">
              <w:rPr>
                <w:rFonts w:ascii="Times New Roman" w:hAnsi="Times New Roman" w:cs="Times New Roman"/>
                <w:b/>
                <w:lang w:val="uk-UA"/>
              </w:rPr>
              <w:t>4. Ціноутворення в р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мках товарної</w:t>
            </w:r>
            <w:r w:rsidR="00B01BC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ном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нклатури</w:t>
            </w:r>
          </w:p>
          <w:p w:rsidR="007974AA" w:rsidRPr="007974AA" w:rsidRDefault="007974AA" w:rsidP="00D1100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4.1. встановлення ціни в рамках товарного асортиме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ту;</w:t>
            </w:r>
          </w:p>
          <w:p w:rsidR="007974AA" w:rsidRPr="007974AA" w:rsidRDefault="007974AA" w:rsidP="00D1100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4.2. встановлення ціни на необов’язкові доповнювальні т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вари;</w:t>
            </w:r>
          </w:p>
          <w:p w:rsidR="007974AA" w:rsidRPr="007974AA" w:rsidRDefault="007974AA" w:rsidP="00D1100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4.3. встановлення цін на необов’язкове пр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ладдя;</w:t>
            </w:r>
          </w:p>
          <w:p w:rsidR="007974AA" w:rsidRPr="007974AA" w:rsidRDefault="007974AA" w:rsidP="00D1100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4.4. ціна «подвійний т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риф»;</w:t>
            </w:r>
          </w:p>
          <w:p w:rsidR="007974AA" w:rsidRPr="007974AA" w:rsidRDefault="007974AA" w:rsidP="00D1100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4.5. встановлення цін на побічні продукти виробни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тва;</w:t>
            </w:r>
          </w:p>
          <w:p w:rsidR="007974AA" w:rsidRPr="007974AA" w:rsidRDefault="007974AA" w:rsidP="00D1100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4.6. встановлення цін на набори тов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</w:t>
            </w:r>
            <w:r w:rsidRPr="007974A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F27CB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27CB">
              <w:rPr>
                <w:rFonts w:ascii="Times New Roman" w:hAnsi="Times New Roman" w:cs="Times New Roman"/>
                <w:b/>
                <w:lang w:val="uk-UA"/>
              </w:rPr>
              <w:t>Базові стратегії</w:t>
            </w:r>
          </w:p>
          <w:p w:rsidR="007974AA" w:rsidRPr="007F27CB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27CB">
              <w:rPr>
                <w:rFonts w:ascii="Times New Roman" w:hAnsi="Times New Roman" w:cs="Times New Roman"/>
                <w:b/>
                <w:lang w:val="uk-UA"/>
              </w:rPr>
              <w:t>(залежно від співвідношення</w:t>
            </w:r>
          </w:p>
          <w:p w:rsidR="007974AA" w:rsidRPr="007974AA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7CB">
              <w:rPr>
                <w:rFonts w:ascii="Times New Roman" w:hAnsi="Times New Roman" w:cs="Times New Roman"/>
                <w:b/>
                <w:lang w:val="uk-UA"/>
              </w:rPr>
              <w:t xml:space="preserve">«ціна </w:t>
            </w:r>
            <w:r w:rsidRPr="007F27CB">
              <w:rPr>
                <w:rFonts w:ascii="Times New Roman" w:hAnsi="Times New Roman" w:cs="Times New Roman"/>
                <w:b/>
                <w:lang w:val="uk-UA"/>
              </w:rPr>
              <w:sym w:font="Symbol" w:char="F02D"/>
            </w:r>
            <w:r w:rsidRPr="007F27CB">
              <w:rPr>
                <w:rFonts w:ascii="Times New Roman" w:hAnsi="Times New Roman" w:cs="Times New Roman"/>
                <w:b/>
                <w:lang w:val="uk-UA"/>
              </w:rPr>
              <w:t xml:space="preserve"> якість»)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AA" w:rsidRPr="007974AA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74AA">
              <w:rPr>
                <w:rFonts w:ascii="Times New Roman" w:hAnsi="Times New Roman" w:cs="Times New Roman"/>
                <w:b/>
                <w:lang w:val="uk-UA"/>
              </w:rPr>
              <w:t>5. Стратегії залежно від</w:t>
            </w:r>
          </w:p>
          <w:p w:rsidR="007974AA" w:rsidRPr="007974AA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4AA">
              <w:rPr>
                <w:rFonts w:ascii="Times New Roman" w:hAnsi="Times New Roman" w:cs="Times New Roman"/>
                <w:b/>
                <w:lang w:val="uk-UA"/>
              </w:rPr>
              <w:t>різн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маніття цін</w:t>
            </w:r>
          </w:p>
          <w:p w:rsidR="007974AA" w:rsidRPr="007974AA" w:rsidRDefault="007974AA" w:rsidP="007F27CB">
            <w:pPr>
              <w:spacing w:after="0" w:line="240" w:lineRule="auto"/>
              <w:ind w:firstLine="2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5.1. стратегія єдиних цін;</w:t>
            </w:r>
          </w:p>
          <w:p w:rsidR="007974AA" w:rsidRPr="007974AA" w:rsidRDefault="007974AA" w:rsidP="007F27CB">
            <w:pPr>
              <w:spacing w:after="0" w:line="240" w:lineRule="auto"/>
              <w:ind w:firstLine="2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5.2. стратегія диференційованих (дискримінаційних) цін залежно від урахування:</w:t>
            </w:r>
          </w:p>
          <w:p w:rsidR="007974AA" w:rsidRPr="007F27CB" w:rsidRDefault="007974AA" w:rsidP="007F27CB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а) відмінностей споживача;</w:t>
            </w:r>
          </w:p>
          <w:p w:rsidR="007974AA" w:rsidRPr="007F27CB" w:rsidRDefault="007974AA" w:rsidP="007F27CB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б) варіантів товару чи посл</w:t>
            </w: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ги;</w:t>
            </w:r>
          </w:p>
          <w:p w:rsidR="007974AA" w:rsidRPr="007F27CB" w:rsidRDefault="007974AA" w:rsidP="007F27CB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в) місця знаходження;</w:t>
            </w:r>
          </w:p>
          <w:p w:rsidR="007974AA" w:rsidRPr="007F27CB" w:rsidRDefault="007974AA" w:rsidP="007F27CB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г) іміджу, престижу;</w:t>
            </w:r>
          </w:p>
          <w:p w:rsidR="007974AA" w:rsidRPr="007F27CB" w:rsidRDefault="007974AA" w:rsidP="007F27CB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д) часового чинника;</w:t>
            </w:r>
          </w:p>
          <w:p w:rsidR="007974AA" w:rsidRPr="007F27CB" w:rsidRDefault="007974AA" w:rsidP="007F27CB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е) призначення товару;</w:t>
            </w:r>
          </w:p>
          <w:p w:rsidR="007974AA" w:rsidRPr="007F27CB" w:rsidRDefault="007974AA" w:rsidP="007F27CB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и) якості обслуговування;</w:t>
            </w:r>
          </w:p>
          <w:p w:rsidR="007974AA" w:rsidRPr="007974AA" w:rsidRDefault="007974AA" w:rsidP="007F27CB">
            <w:pPr>
              <w:spacing w:after="0" w:line="240" w:lineRule="auto"/>
              <w:ind w:left="166"/>
              <w:rPr>
                <w:rFonts w:ascii="Times New Roman" w:hAnsi="Times New Roman" w:cs="Times New Roman"/>
                <w:lang w:val="uk-UA"/>
              </w:rPr>
            </w:pP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к) проникнення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7974AA" w:rsidRPr="007974AA" w:rsidTr="00A93721">
        <w:trPr>
          <w:trHeight w:val="46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ind w:firstLine="2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74AA" w:rsidRPr="007974AA" w:rsidTr="00A93721">
        <w:trPr>
          <w:trHeight w:val="134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4AA" w:rsidRPr="007974AA" w:rsidRDefault="007974AA" w:rsidP="007F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27CB">
              <w:rPr>
                <w:rFonts w:ascii="Times New Roman" w:hAnsi="Times New Roman" w:cs="Times New Roman"/>
                <w:b/>
                <w:shd w:val="clear" w:color="auto" w:fill="FFFFFF" w:themeFill="background1"/>
                <w:lang w:val="uk-UA"/>
              </w:rPr>
              <w:t>Стратегії</w:t>
            </w:r>
            <w:r w:rsidR="007F27CB">
              <w:rPr>
                <w:rFonts w:ascii="Times New Roman" w:hAnsi="Times New Roman" w:cs="Times New Roman"/>
                <w:b/>
                <w:shd w:val="clear" w:color="auto" w:fill="FFFFFF" w:themeFill="background1"/>
                <w:lang w:val="uk-UA"/>
              </w:rPr>
              <w:t xml:space="preserve"> 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ціноутворе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н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ня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74AA" w:rsidRPr="007974AA" w:rsidTr="00A93721">
        <w:trPr>
          <w:trHeight w:val="33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74AA" w:rsidRPr="007974AA" w:rsidTr="00A93721">
        <w:trPr>
          <w:trHeight w:val="50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AA" w:rsidRPr="007974AA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4AA">
              <w:rPr>
                <w:rFonts w:ascii="Times New Roman" w:hAnsi="Times New Roman" w:cs="Times New Roman"/>
                <w:lang w:val="uk-UA"/>
              </w:rPr>
              <w:t>Стратегії цінової адаптації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74AA" w:rsidRPr="007974AA" w:rsidTr="00A93721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74AA" w:rsidRPr="007974AA" w:rsidTr="00A9372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B01BC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74AA">
              <w:rPr>
                <w:rFonts w:ascii="Times New Roman" w:hAnsi="Times New Roman" w:cs="Times New Roman"/>
                <w:b/>
                <w:lang w:val="uk-UA"/>
              </w:rPr>
              <w:t>6. Стратегії ціноутворе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н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ня залежно від</w:t>
            </w:r>
            <w:r w:rsidR="00B01BC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конкур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нції</w:t>
            </w:r>
          </w:p>
          <w:p w:rsidR="007974AA" w:rsidRPr="007974AA" w:rsidRDefault="007974AA" w:rsidP="00B01BC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6.1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стратегія цінового л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дера;</w:t>
            </w:r>
          </w:p>
          <w:p w:rsidR="007974AA" w:rsidRPr="007974AA" w:rsidRDefault="007974AA" w:rsidP="00B01BC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6.2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стратегія наслідування л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дера;</w:t>
            </w:r>
          </w:p>
          <w:p w:rsidR="007974AA" w:rsidRPr="007974AA" w:rsidRDefault="007974AA" w:rsidP="00B01BC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6.3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стратегія </w:t>
            </w:r>
            <w:r w:rsidRPr="007F27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престижних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цін;</w:t>
            </w:r>
          </w:p>
          <w:p w:rsidR="007974AA" w:rsidRPr="007974AA" w:rsidRDefault="007974AA" w:rsidP="00B01BC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6.4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стратегія «за  кривою д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свіду»;</w:t>
            </w:r>
          </w:p>
          <w:p w:rsidR="007974AA" w:rsidRPr="007974AA" w:rsidRDefault="007974AA" w:rsidP="00B01BC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6.5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стратегія сигналізації ц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нами;</w:t>
            </w:r>
          </w:p>
          <w:p w:rsidR="007974AA" w:rsidRPr="007974AA" w:rsidRDefault="007974AA" w:rsidP="00B01BC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6.6</w:t>
            </w:r>
            <w:r w:rsidRPr="007974AA">
              <w:rPr>
                <w:rFonts w:ascii="Times New Roman" w:hAnsi="Times New Roman" w:cs="Times New Roman"/>
                <w:spacing w:val="-6"/>
                <w:sz w:val="20"/>
                <w:szCs w:val="20"/>
                <w:lang w:val="uk-UA"/>
              </w:rPr>
              <w:t>. стратегія психологічних цін</w:t>
            </w:r>
          </w:p>
        </w:tc>
        <w:tc>
          <w:tcPr>
            <w:tcW w:w="2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74AA">
              <w:rPr>
                <w:rFonts w:ascii="Times New Roman" w:hAnsi="Times New Roman" w:cs="Times New Roman"/>
                <w:b/>
                <w:lang w:val="uk-UA"/>
              </w:rPr>
              <w:t>7. Стратегії ціноутворення залежно від географічної озн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ки</w:t>
            </w:r>
          </w:p>
          <w:p w:rsidR="007974AA" w:rsidRPr="007974AA" w:rsidRDefault="007974AA" w:rsidP="00A9372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7.1. встановлення ціни місці виробництва т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вару;</w:t>
            </w:r>
          </w:p>
          <w:p w:rsidR="007974AA" w:rsidRPr="007974AA" w:rsidRDefault="007974AA" w:rsidP="00A9372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7.2. встановлення єдиної ціни з включенням до неї витрат на доста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7974AA" w:rsidRPr="007974AA" w:rsidRDefault="007974AA" w:rsidP="00A9372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7.3. встановлення зональних цін;</w:t>
            </w:r>
          </w:p>
          <w:p w:rsidR="007974AA" w:rsidRPr="007974AA" w:rsidRDefault="007974AA" w:rsidP="00A9372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7.4. встановлення ціни відносно базисного пун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ту;</w:t>
            </w:r>
          </w:p>
          <w:p w:rsidR="007974AA" w:rsidRPr="007974AA" w:rsidRDefault="007974AA" w:rsidP="00A9372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7.5. встановлення цін з прийняттям на себе в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трат по доставці.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74AA">
              <w:rPr>
                <w:rFonts w:ascii="Times New Roman" w:hAnsi="Times New Roman" w:cs="Times New Roman"/>
                <w:b/>
                <w:lang w:val="uk-UA"/>
              </w:rPr>
              <w:t>8. Стратегії ціноутв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рення залежно від цінової динам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7974AA">
              <w:rPr>
                <w:rFonts w:ascii="Times New Roman" w:hAnsi="Times New Roman" w:cs="Times New Roman"/>
                <w:b/>
                <w:lang w:val="uk-UA"/>
              </w:rPr>
              <w:t>ки</w:t>
            </w:r>
          </w:p>
          <w:p w:rsidR="007974AA" w:rsidRPr="007974AA" w:rsidRDefault="007974AA" w:rsidP="00A93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8.1. стратегія стабільних (фіксов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них) цін;</w:t>
            </w:r>
          </w:p>
          <w:p w:rsidR="007974AA" w:rsidRPr="007974AA" w:rsidRDefault="007974AA" w:rsidP="00A93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8.2. стратегія гн6учких (ела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тичних цін);</w:t>
            </w:r>
          </w:p>
          <w:p w:rsidR="007974AA" w:rsidRPr="007974AA" w:rsidRDefault="007974AA" w:rsidP="00A93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8.3. стратегія нестабіл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них цін.</w:t>
            </w:r>
          </w:p>
        </w:tc>
      </w:tr>
      <w:tr w:rsidR="007974AA" w:rsidRPr="007974AA" w:rsidTr="00A93721">
        <w:trPr>
          <w:trHeight w:val="8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1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7974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74AA" w:rsidRPr="007974AA" w:rsidTr="00A93721">
        <w:trPr>
          <w:trHeight w:val="87"/>
        </w:trPr>
        <w:tc>
          <w:tcPr>
            <w:tcW w:w="94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AA" w:rsidRPr="007974AA" w:rsidRDefault="007974AA" w:rsidP="0079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74AA">
              <w:rPr>
                <w:rFonts w:ascii="Times New Roman" w:hAnsi="Times New Roman" w:cs="Times New Roman"/>
                <w:b/>
                <w:lang w:val="uk-UA"/>
              </w:rPr>
              <w:t>9. Встановлення цін зі знижками та заліками</w:t>
            </w:r>
          </w:p>
        </w:tc>
      </w:tr>
      <w:tr w:rsidR="007974AA" w:rsidRPr="007974AA" w:rsidTr="00A93721">
        <w:trPr>
          <w:trHeight w:val="3164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B01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знижки за оплату готівкою (знижки сконто);</w:t>
            </w:r>
          </w:p>
          <w:p w:rsidR="007974AA" w:rsidRPr="007974AA" w:rsidRDefault="007974AA" w:rsidP="00B01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знижки за кількість тов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ру:</w:t>
            </w:r>
          </w:p>
          <w:p w:rsidR="007974AA" w:rsidRPr="007974AA" w:rsidRDefault="007974AA" w:rsidP="00B01BC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а) між кумулят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вні;</w:t>
            </w:r>
          </w:p>
          <w:p w:rsidR="007974AA" w:rsidRPr="007974AA" w:rsidRDefault="007974AA" w:rsidP="00B01BC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б) кумулятивні;</w:t>
            </w:r>
          </w:p>
          <w:p w:rsidR="007974AA" w:rsidRPr="007974AA" w:rsidRDefault="007974AA" w:rsidP="00A9372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дилерські знижки;</w:t>
            </w:r>
          </w:p>
          <w:p w:rsidR="007974AA" w:rsidRPr="007974AA" w:rsidRDefault="007974AA" w:rsidP="00A9372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функціональні зн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жки;</w:t>
            </w:r>
          </w:p>
          <w:p w:rsidR="007974AA" w:rsidRPr="007974AA" w:rsidRDefault="007974AA" w:rsidP="00A9372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9.5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бонусні</w:t>
            </w:r>
            <w:proofErr w:type="spellEnd"/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знижки;</w:t>
            </w:r>
          </w:p>
          <w:p w:rsidR="007974AA" w:rsidRPr="007974AA" w:rsidRDefault="007974AA" w:rsidP="00A93721">
            <w:pPr>
              <w:spacing w:after="0" w:line="240" w:lineRule="auto"/>
              <w:ind w:left="34"/>
              <w:rPr>
                <w:rFonts w:ascii="Times New Roman" w:hAnsi="Times New Roman" w:cs="Times New Roman"/>
                <w:spacing w:val="-6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9.6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pacing w:val="-6"/>
                <w:sz w:val="20"/>
                <w:szCs w:val="20"/>
                <w:lang w:val="uk-UA"/>
              </w:rPr>
              <w:t xml:space="preserve"> знижки за відданість поку</w:t>
            </w:r>
            <w:r w:rsidRPr="007974AA">
              <w:rPr>
                <w:rFonts w:ascii="Times New Roman" w:hAnsi="Times New Roman" w:cs="Times New Roman"/>
                <w:spacing w:val="-6"/>
                <w:sz w:val="20"/>
                <w:szCs w:val="20"/>
                <w:lang w:val="uk-UA"/>
              </w:rPr>
              <w:t>п</w:t>
            </w:r>
            <w:r w:rsidRPr="007974AA">
              <w:rPr>
                <w:rFonts w:ascii="Times New Roman" w:hAnsi="Times New Roman" w:cs="Times New Roman"/>
                <w:spacing w:val="-6"/>
                <w:sz w:val="20"/>
                <w:szCs w:val="20"/>
                <w:lang w:val="uk-UA"/>
              </w:rPr>
              <w:t>ців;</w:t>
            </w:r>
          </w:p>
          <w:p w:rsidR="007974AA" w:rsidRPr="007974AA" w:rsidRDefault="007974AA" w:rsidP="00A9372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9.7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сезонні знижки;</w:t>
            </w:r>
          </w:p>
          <w:p w:rsidR="007974AA" w:rsidRPr="007974AA" w:rsidRDefault="007974AA" w:rsidP="00A9372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9.8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експортні знижки;</w:t>
            </w:r>
          </w:p>
          <w:p w:rsidR="007974AA" w:rsidRPr="007974AA" w:rsidRDefault="007974AA" w:rsidP="00A9372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9.9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приховані знижки;</w:t>
            </w:r>
          </w:p>
          <w:p w:rsidR="00A93721" w:rsidRDefault="007974AA" w:rsidP="00A93721">
            <w:pPr>
              <w:spacing w:after="0" w:line="240" w:lineRule="auto"/>
              <w:ind w:left="34"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9.10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льні знижки;</w:t>
            </w:r>
            <w:r w:rsidR="00A93721"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7974AA" w:rsidRPr="007974AA" w:rsidRDefault="00A93721" w:rsidP="00A93721">
            <w:pPr>
              <w:spacing w:after="0" w:line="240" w:lineRule="auto"/>
              <w:ind w:left="34"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трансфертні зн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жки;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AA" w:rsidRPr="007974AA" w:rsidRDefault="007974AA" w:rsidP="00A93721">
            <w:pPr>
              <w:spacing w:after="0" w:line="240" w:lineRule="auto"/>
              <w:ind w:left="153"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9.12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знижки на уторовування;</w:t>
            </w:r>
          </w:p>
          <w:p w:rsidR="007974AA" w:rsidRPr="007974AA" w:rsidRDefault="007974AA" w:rsidP="00A93721">
            <w:pPr>
              <w:spacing w:after="0" w:line="240" w:lineRule="auto"/>
              <w:ind w:left="153"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9.13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клубні</w:t>
            </w:r>
            <w:r w:rsidRPr="007974A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знижки;</w:t>
            </w:r>
          </w:p>
          <w:p w:rsidR="007974AA" w:rsidRPr="007974AA" w:rsidRDefault="007974AA" w:rsidP="00A93721">
            <w:pPr>
              <w:spacing w:after="0" w:line="240" w:lineRule="auto"/>
              <w:ind w:left="153"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9.14. фінальні знижки;</w:t>
            </w:r>
          </w:p>
          <w:p w:rsidR="007974AA" w:rsidRPr="007974AA" w:rsidRDefault="007974AA" w:rsidP="00A93721">
            <w:pPr>
              <w:spacing w:after="0" w:line="240" w:lineRule="auto"/>
              <w:ind w:left="153"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9.15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складні знижки;</w:t>
            </w:r>
          </w:p>
          <w:p w:rsidR="007974AA" w:rsidRPr="007974AA" w:rsidRDefault="007974AA" w:rsidP="00A93721">
            <w:pPr>
              <w:spacing w:after="0" w:line="240" w:lineRule="auto"/>
              <w:ind w:left="153"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9.16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негативні знижки;</w:t>
            </w:r>
          </w:p>
          <w:p w:rsidR="007974AA" w:rsidRPr="007974AA" w:rsidRDefault="007974AA" w:rsidP="00A93721">
            <w:pPr>
              <w:spacing w:after="0" w:line="240" w:lineRule="auto"/>
              <w:ind w:left="153"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9.17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округлені ціни;</w:t>
            </w:r>
          </w:p>
          <w:p w:rsidR="007974AA" w:rsidRPr="007974AA" w:rsidRDefault="007974AA" w:rsidP="00A93721">
            <w:pPr>
              <w:spacing w:after="0" w:line="240" w:lineRule="auto"/>
              <w:ind w:left="153"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9.18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ціни 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Symbol" w:char="F02D"/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приманка;</w:t>
            </w:r>
          </w:p>
          <w:p w:rsidR="007974AA" w:rsidRPr="007974AA" w:rsidRDefault="007974AA" w:rsidP="00A93721">
            <w:pPr>
              <w:spacing w:after="0" w:line="240" w:lineRule="auto"/>
              <w:ind w:left="153" w:right="-8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9.19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ціни спеціальних зах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дів;</w:t>
            </w:r>
          </w:p>
          <w:p w:rsidR="007974AA" w:rsidRPr="007974AA" w:rsidRDefault="007974AA" w:rsidP="00A93721">
            <w:pPr>
              <w:spacing w:after="0" w:line="240" w:lineRule="auto"/>
              <w:ind w:left="153" w:right="-8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9.20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знижки з ціни за певний проміжок ч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су;</w:t>
            </w:r>
          </w:p>
          <w:p w:rsidR="007974AA" w:rsidRPr="007974AA" w:rsidRDefault="007974AA" w:rsidP="00A93721">
            <w:pPr>
              <w:spacing w:after="0" w:line="240" w:lineRule="auto"/>
              <w:ind w:left="153" w:right="-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9.21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низькі ставки кредиту;</w:t>
            </w:r>
          </w:p>
          <w:p w:rsidR="007974AA" w:rsidRPr="007974AA" w:rsidRDefault="007974AA" w:rsidP="00A93721">
            <w:pPr>
              <w:spacing w:after="0" w:line="240" w:lineRule="auto"/>
              <w:ind w:left="15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9.22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гарантійні умови і угоди про технічне обслуго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ування;</w:t>
            </w:r>
            <w:r w:rsidR="00A93721"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9.23</w:t>
            </w:r>
            <w:r w:rsidR="00A937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A93721"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психологічні знижки;</w:t>
            </w:r>
          </w:p>
        </w:tc>
        <w:tc>
          <w:tcPr>
            <w:tcW w:w="31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AA" w:rsidRPr="007974AA" w:rsidRDefault="007974AA" w:rsidP="00A93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9.24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залікові купони;</w:t>
            </w:r>
          </w:p>
          <w:p w:rsidR="007974AA" w:rsidRPr="007974AA" w:rsidRDefault="007974AA" w:rsidP="00A93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9.25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сувеніри;</w:t>
            </w:r>
          </w:p>
          <w:p w:rsidR="007974AA" w:rsidRPr="007974AA" w:rsidRDefault="007974AA" w:rsidP="00A93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9.26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подарунок;</w:t>
            </w:r>
          </w:p>
          <w:p w:rsidR="007974AA" w:rsidRPr="007974AA" w:rsidRDefault="007974AA" w:rsidP="00A93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9.27. зразки;</w:t>
            </w:r>
          </w:p>
          <w:p w:rsidR="007974AA" w:rsidRPr="007974AA" w:rsidRDefault="007974AA" w:rsidP="00A93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9.28. премії;</w:t>
            </w:r>
          </w:p>
          <w:p w:rsidR="007974AA" w:rsidRPr="007974AA" w:rsidRDefault="007974AA" w:rsidP="00A93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9.29.  упаковки за пільговими цін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ми;</w:t>
            </w:r>
          </w:p>
          <w:p w:rsidR="007974AA" w:rsidRPr="007974AA" w:rsidRDefault="007974AA" w:rsidP="00A93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9.30</w:t>
            </w:r>
            <w:r w:rsidR="00B01B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заліки: </w:t>
            </w:r>
          </w:p>
          <w:p w:rsidR="007974AA" w:rsidRPr="007974AA" w:rsidRDefault="007974AA" w:rsidP="00A93721">
            <w:pPr>
              <w:spacing w:after="0" w:line="240" w:lineRule="auto"/>
              <w:ind w:left="29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а) товарообмінні заліки (зн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жки «ctrade-in»);</w:t>
            </w:r>
          </w:p>
          <w:p w:rsidR="007974AA" w:rsidRPr="007974AA" w:rsidRDefault="007974AA" w:rsidP="00A93721">
            <w:pPr>
              <w:spacing w:after="0" w:line="240" w:lineRule="auto"/>
              <w:ind w:left="29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б) заліки на стимулювання зб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ту.</w:t>
            </w:r>
          </w:p>
          <w:p w:rsidR="007974AA" w:rsidRPr="007974AA" w:rsidRDefault="007974AA" w:rsidP="00A93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74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9.31. знижки на другому ринку.</w:t>
            </w:r>
          </w:p>
        </w:tc>
      </w:tr>
    </w:tbl>
    <w:p w:rsidR="008D578A" w:rsidRPr="00547137" w:rsidRDefault="00547137" w:rsidP="00A93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1. Класифікація сучасних цінових стратегій торговельних підприємств</w:t>
      </w:r>
    </w:p>
    <w:sectPr w:rsidR="008D578A" w:rsidRPr="00547137" w:rsidSect="004A077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7662"/>
    <w:rsid w:val="0004118C"/>
    <w:rsid w:val="00062A78"/>
    <w:rsid w:val="000839C2"/>
    <w:rsid w:val="002171AF"/>
    <w:rsid w:val="00246E7A"/>
    <w:rsid w:val="0025073F"/>
    <w:rsid w:val="002D1F29"/>
    <w:rsid w:val="002D7219"/>
    <w:rsid w:val="003F7662"/>
    <w:rsid w:val="004A0771"/>
    <w:rsid w:val="00547137"/>
    <w:rsid w:val="00694724"/>
    <w:rsid w:val="00773728"/>
    <w:rsid w:val="007974AA"/>
    <w:rsid w:val="007C3275"/>
    <w:rsid w:val="007F27CB"/>
    <w:rsid w:val="00806BC9"/>
    <w:rsid w:val="008D578A"/>
    <w:rsid w:val="00A93721"/>
    <w:rsid w:val="00B01BC2"/>
    <w:rsid w:val="00B066AA"/>
    <w:rsid w:val="00B767BF"/>
    <w:rsid w:val="00D1100F"/>
    <w:rsid w:val="00DC429F"/>
    <w:rsid w:val="00DD3093"/>
    <w:rsid w:val="00EE10A0"/>
    <w:rsid w:val="00F0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275"/>
    <w:rPr>
      <w:b/>
      <w:bCs/>
    </w:rPr>
  </w:style>
  <w:style w:type="paragraph" w:customStyle="1" w:styleId="Default">
    <w:name w:val="Default"/>
    <w:rsid w:val="00DD309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blister</dc:creator>
  <cp:lastModifiedBy>ксю</cp:lastModifiedBy>
  <cp:revision>3</cp:revision>
  <dcterms:created xsi:type="dcterms:W3CDTF">2018-04-12T10:09:00Z</dcterms:created>
  <dcterms:modified xsi:type="dcterms:W3CDTF">2018-04-12T12:13:00Z</dcterms:modified>
</cp:coreProperties>
</file>