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2E62" w14:textId="08339A2A" w:rsidR="00DD0F5B" w:rsidRPr="003E514A" w:rsidRDefault="005B37C7" w:rsidP="00E11B98">
      <w:pPr>
        <w:widowControl w:val="0"/>
        <w:spacing w:after="0" w:line="240" w:lineRule="auto"/>
        <w:jc w:val="both"/>
        <w:rPr>
          <w:rFonts w:ascii="Times New Roman" w:hAnsi="Times New Roman" w:cs="Times New Roman"/>
          <w:sz w:val="24"/>
          <w:szCs w:val="24"/>
        </w:rPr>
      </w:pPr>
      <w:r w:rsidRPr="003E514A">
        <w:rPr>
          <w:rFonts w:ascii="Times New Roman" w:hAnsi="Times New Roman" w:cs="Times New Roman"/>
          <w:sz w:val="24"/>
          <w:szCs w:val="24"/>
        </w:rPr>
        <w:t>УДК</w:t>
      </w:r>
      <w:r w:rsidR="008A148E" w:rsidRPr="003E514A">
        <w:rPr>
          <w:rFonts w:ascii="Times New Roman" w:hAnsi="Times New Roman" w:cs="Times New Roman"/>
          <w:sz w:val="24"/>
          <w:szCs w:val="24"/>
        </w:rPr>
        <w:t xml:space="preserve"> </w:t>
      </w:r>
      <w:r w:rsidR="001E5C4A">
        <w:rPr>
          <w:rFonts w:ascii="Times New Roman" w:hAnsi="Times New Roman" w:cs="Times New Roman"/>
          <w:sz w:val="24"/>
          <w:szCs w:val="24"/>
        </w:rPr>
        <w:t>336.761</w:t>
      </w:r>
    </w:p>
    <w:p w14:paraId="7EC39DE6" w14:textId="77777777" w:rsidR="003E514A" w:rsidRPr="003E514A" w:rsidRDefault="003E514A" w:rsidP="00E11B98">
      <w:pPr>
        <w:widowControl w:val="0"/>
        <w:spacing w:after="0" w:line="240" w:lineRule="auto"/>
        <w:jc w:val="both"/>
        <w:rPr>
          <w:rFonts w:ascii="Times New Roman" w:hAnsi="Times New Roman" w:cs="Times New Roman"/>
          <w:sz w:val="24"/>
          <w:szCs w:val="24"/>
        </w:rPr>
      </w:pPr>
    </w:p>
    <w:p w14:paraId="04551331" w14:textId="43502562" w:rsidR="00D440D7" w:rsidRPr="003E514A" w:rsidRDefault="00C865E3" w:rsidP="00D440D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Шивела І.А</w:t>
      </w:r>
      <w:r w:rsidR="00D440D7" w:rsidRPr="003E514A">
        <w:rPr>
          <w:rFonts w:ascii="Times New Roman" w:hAnsi="Times New Roman" w:cs="Times New Roman"/>
          <w:sz w:val="24"/>
          <w:szCs w:val="24"/>
        </w:rPr>
        <w:t>. студент-магістр</w:t>
      </w:r>
    </w:p>
    <w:p w14:paraId="7622B7AA" w14:textId="42394088" w:rsidR="00E11B98" w:rsidRPr="003E514A" w:rsidRDefault="00E11B98" w:rsidP="00E11B98">
      <w:pPr>
        <w:widowControl w:val="0"/>
        <w:spacing w:after="0" w:line="240" w:lineRule="auto"/>
        <w:jc w:val="center"/>
        <w:rPr>
          <w:rFonts w:ascii="Times New Roman" w:hAnsi="Times New Roman" w:cs="Times New Roman"/>
          <w:sz w:val="24"/>
          <w:szCs w:val="24"/>
        </w:rPr>
      </w:pPr>
      <w:r w:rsidRPr="003E514A">
        <w:rPr>
          <w:rFonts w:ascii="Times New Roman" w:hAnsi="Times New Roman" w:cs="Times New Roman"/>
          <w:sz w:val="24"/>
          <w:szCs w:val="24"/>
        </w:rPr>
        <w:t>Хадарцев О.В., к.е.н., доцент</w:t>
      </w:r>
      <w:r w:rsidR="00D440D7">
        <w:rPr>
          <w:rFonts w:ascii="Times New Roman" w:hAnsi="Times New Roman" w:cs="Times New Roman"/>
          <w:sz w:val="24"/>
          <w:szCs w:val="24"/>
        </w:rPr>
        <w:t xml:space="preserve"> – науковий керівник</w:t>
      </w:r>
    </w:p>
    <w:p w14:paraId="2E50A86F" w14:textId="75EAC485" w:rsidR="00D517AC" w:rsidRDefault="003935B7" w:rsidP="00E11B98">
      <w:pPr>
        <w:widowControl w:val="0"/>
        <w:spacing w:after="0" w:line="240" w:lineRule="auto"/>
        <w:jc w:val="center"/>
        <w:rPr>
          <w:rFonts w:ascii="Times New Roman" w:hAnsi="Times New Roman" w:cs="Times New Roman"/>
          <w:i/>
          <w:iCs/>
          <w:sz w:val="24"/>
          <w:szCs w:val="24"/>
        </w:rPr>
      </w:pPr>
      <w:r w:rsidRPr="003E514A">
        <w:rPr>
          <w:rFonts w:ascii="Times New Roman" w:hAnsi="Times New Roman" w:cs="Times New Roman"/>
          <w:i/>
          <w:iCs/>
          <w:sz w:val="24"/>
          <w:szCs w:val="24"/>
        </w:rPr>
        <w:t>Національний університет «Полтавська політехніка імені Юрія Кондратюка»</w:t>
      </w:r>
    </w:p>
    <w:p w14:paraId="42358A87" w14:textId="2BF9EEF3" w:rsidR="003935B7" w:rsidRPr="003E514A" w:rsidRDefault="00E11B98" w:rsidP="00E11B98">
      <w:pPr>
        <w:widowControl w:val="0"/>
        <w:spacing w:after="0" w:line="240" w:lineRule="auto"/>
        <w:jc w:val="center"/>
        <w:rPr>
          <w:rFonts w:ascii="Times New Roman" w:hAnsi="Times New Roman" w:cs="Times New Roman"/>
          <w:i/>
          <w:iCs/>
          <w:sz w:val="24"/>
          <w:szCs w:val="24"/>
        </w:rPr>
      </w:pPr>
      <w:r w:rsidRPr="003E514A">
        <w:rPr>
          <w:rFonts w:ascii="Times New Roman" w:hAnsi="Times New Roman" w:cs="Times New Roman"/>
          <w:i/>
          <w:iCs/>
          <w:sz w:val="24"/>
          <w:szCs w:val="24"/>
        </w:rPr>
        <w:t>(м. Полтава, Україна)</w:t>
      </w:r>
    </w:p>
    <w:p w14:paraId="3191A161" w14:textId="77777777" w:rsidR="003935B7" w:rsidRPr="003E514A" w:rsidRDefault="003935B7" w:rsidP="003E514A">
      <w:pPr>
        <w:widowControl w:val="0"/>
        <w:spacing w:after="0" w:line="240" w:lineRule="auto"/>
        <w:jc w:val="center"/>
        <w:rPr>
          <w:rFonts w:ascii="Times New Roman" w:hAnsi="Times New Roman" w:cs="Times New Roman"/>
          <w:sz w:val="24"/>
          <w:szCs w:val="24"/>
        </w:rPr>
      </w:pPr>
    </w:p>
    <w:p w14:paraId="767F7128" w14:textId="340E13E5" w:rsidR="00163BAF" w:rsidRPr="003E514A" w:rsidRDefault="000F6308" w:rsidP="00E11B98">
      <w:pPr>
        <w:widowControl w:val="0"/>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ШЛЯХИ </w:t>
      </w:r>
      <w:r w:rsidRPr="00C865E3">
        <w:rPr>
          <w:rFonts w:ascii="Times New Roman" w:hAnsi="Times New Roman" w:cs="Times New Roman"/>
          <w:b/>
          <w:bCs/>
          <w:caps/>
          <w:sz w:val="24"/>
          <w:szCs w:val="24"/>
        </w:rPr>
        <w:t>підвищенн</w:t>
      </w:r>
      <w:r>
        <w:rPr>
          <w:rFonts w:ascii="Times New Roman" w:hAnsi="Times New Roman" w:cs="Times New Roman"/>
          <w:b/>
          <w:bCs/>
          <w:caps/>
          <w:sz w:val="24"/>
          <w:szCs w:val="24"/>
        </w:rPr>
        <w:t>я</w:t>
      </w:r>
      <w:r w:rsidRPr="00C865E3">
        <w:rPr>
          <w:rFonts w:ascii="Times New Roman" w:hAnsi="Times New Roman" w:cs="Times New Roman"/>
          <w:b/>
          <w:bCs/>
          <w:caps/>
          <w:sz w:val="24"/>
          <w:szCs w:val="24"/>
        </w:rPr>
        <w:t xml:space="preserve"> ефективності </w:t>
      </w:r>
      <w:r w:rsidR="00C865E3" w:rsidRPr="00C865E3">
        <w:rPr>
          <w:rFonts w:ascii="Times New Roman" w:hAnsi="Times New Roman" w:cs="Times New Roman"/>
          <w:b/>
          <w:bCs/>
          <w:caps/>
          <w:sz w:val="24"/>
          <w:szCs w:val="24"/>
        </w:rPr>
        <w:t>Біржов</w:t>
      </w:r>
      <w:r>
        <w:rPr>
          <w:rFonts w:ascii="Times New Roman" w:hAnsi="Times New Roman" w:cs="Times New Roman"/>
          <w:b/>
          <w:bCs/>
          <w:caps/>
          <w:sz w:val="24"/>
          <w:szCs w:val="24"/>
        </w:rPr>
        <w:t>их</w:t>
      </w:r>
      <w:r w:rsidR="00C865E3" w:rsidRPr="00C865E3">
        <w:rPr>
          <w:rFonts w:ascii="Times New Roman" w:hAnsi="Times New Roman" w:cs="Times New Roman"/>
          <w:b/>
          <w:bCs/>
          <w:caps/>
          <w:sz w:val="24"/>
          <w:szCs w:val="24"/>
        </w:rPr>
        <w:t xml:space="preserve"> операці</w:t>
      </w:r>
      <w:r>
        <w:rPr>
          <w:rFonts w:ascii="Times New Roman" w:hAnsi="Times New Roman" w:cs="Times New Roman"/>
          <w:b/>
          <w:bCs/>
          <w:caps/>
          <w:sz w:val="24"/>
          <w:szCs w:val="24"/>
        </w:rPr>
        <w:t>й</w:t>
      </w:r>
    </w:p>
    <w:p w14:paraId="71014090" w14:textId="77777777" w:rsidR="005B37C7" w:rsidRPr="003E514A" w:rsidRDefault="005B37C7" w:rsidP="00E11B98">
      <w:pPr>
        <w:widowControl w:val="0"/>
        <w:tabs>
          <w:tab w:val="left" w:pos="6521"/>
        </w:tabs>
        <w:spacing w:after="0" w:line="240" w:lineRule="auto"/>
        <w:ind w:firstLine="709"/>
        <w:jc w:val="both"/>
        <w:rPr>
          <w:rFonts w:ascii="Times New Roman" w:hAnsi="Times New Roman" w:cs="Times New Roman"/>
          <w:bCs/>
          <w:color w:val="000000"/>
          <w:sz w:val="24"/>
          <w:szCs w:val="24"/>
          <w:shd w:val="clear" w:color="auto" w:fill="FFFFFF"/>
        </w:rPr>
      </w:pPr>
    </w:p>
    <w:p w14:paraId="31FD6F24" w14:textId="2AB1B8EB" w:rsidR="000F6308" w:rsidRPr="000F6308" w:rsidRDefault="000F6308" w:rsidP="000F6308">
      <w:pPr>
        <w:widowControl w:val="0"/>
        <w:spacing w:after="0" w:line="240" w:lineRule="auto"/>
        <w:ind w:firstLine="709"/>
        <w:jc w:val="both"/>
        <w:rPr>
          <w:rFonts w:ascii="Times New Roman" w:hAnsi="Times New Roman" w:cs="Times New Roman"/>
          <w:sz w:val="24"/>
          <w:szCs w:val="24"/>
        </w:rPr>
      </w:pPr>
      <w:r w:rsidRPr="000F6308">
        <w:rPr>
          <w:rFonts w:ascii="Times New Roman" w:hAnsi="Times New Roman" w:cs="Times New Roman"/>
          <w:sz w:val="24"/>
          <w:szCs w:val="24"/>
        </w:rPr>
        <w:t>Здійснення біржових операцій передбачає необхідність прийняття рішень щодо фінансових інструментів, якими варто наповнити інвестиційний портфель. Зокрема, У. Шарп, зазначає, що аналіз включає в себе вивчення окремих видів активів, ціллю такої оцінки є визначення тих цінних паперів, які є неправильно оціненими в даний момент. Так Кравченко Ю.А. притримується думки, щодо необхідності проведення аналізу, оскільки оцінка акцій має на увазі визначення внутрішньої вартості цієї акції для порівняння цієї вартості з поточними ринковим курсом акції [</w:t>
      </w:r>
      <w:r w:rsidR="00F50409">
        <w:rPr>
          <w:rFonts w:ascii="Times New Roman" w:hAnsi="Times New Roman" w:cs="Times New Roman"/>
          <w:sz w:val="24"/>
          <w:szCs w:val="24"/>
        </w:rPr>
        <w:t>1</w:t>
      </w:r>
      <w:r w:rsidRPr="000F6308">
        <w:rPr>
          <w:rFonts w:ascii="Times New Roman" w:hAnsi="Times New Roman" w:cs="Times New Roman"/>
          <w:sz w:val="24"/>
          <w:szCs w:val="24"/>
        </w:rPr>
        <w:t xml:space="preserve">]. </w:t>
      </w:r>
    </w:p>
    <w:p w14:paraId="0B6D8D50" w14:textId="7BF938E9" w:rsidR="000F6308" w:rsidRPr="000F6308" w:rsidRDefault="000F6308" w:rsidP="00656845">
      <w:pPr>
        <w:widowControl w:val="0"/>
        <w:spacing w:after="0" w:line="240" w:lineRule="auto"/>
        <w:ind w:firstLine="709"/>
        <w:jc w:val="both"/>
        <w:rPr>
          <w:rFonts w:ascii="Times New Roman" w:hAnsi="Times New Roman" w:cs="Times New Roman"/>
          <w:sz w:val="24"/>
          <w:szCs w:val="24"/>
        </w:rPr>
      </w:pPr>
      <w:r w:rsidRPr="000F6308">
        <w:rPr>
          <w:rFonts w:ascii="Times New Roman" w:hAnsi="Times New Roman" w:cs="Times New Roman"/>
          <w:sz w:val="24"/>
          <w:szCs w:val="24"/>
        </w:rPr>
        <w:t xml:space="preserve">Технічний аналіз є одним з найпоширених підходів, що застосовуються при купівлі-продажу біржових активів. Технічний аналіз передбачає вивчення внутрішньої інформації біржі. Вихідними даними для технічного аналізу є ціни </w:t>
      </w:r>
      <w:r w:rsidR="00656845">
        <w:rPr>
          <w:rFonts w:ascii="Times New Roman" w:hAnsi="Times New Roman" w:cs="Times New Roman"/>
          <w:sz w:val="24"/>
          <w:szCs w:val="24"/>
        </w:rPr>
        <w:t>–</w:t>
      </w:r>
      <w:r w:rsidRPr="000F6308">
        <w:rPr>
          <w:rFonts w:ascii="Times New Roman" w:hAnsi="Times New Roman" w:cs="Times New Roman"/>
          <w:sz w:val="24"/>
          <w:szCs w:val="24"/>
        </w:rPr>
        <w:t xml:space="preserve"> найбільша і найменша ціна, ціна відкриття і закриття за певний період часу, обсяг операцій. Вважається, що будь-який чинник, що впливає на ціну - економічний, політичний або психологічний – вже врахований ринком і включений в неї.</w:t>
      </w:r>
      <w:r w:rsidR="00656845">
        <w:rPr>
          <w:rFonts w:ascii="Times New Roman" w:hAnsi="Times New Roman" w:cs="Times New Roman"/>
          <w:sz w:val="24"/>
          <w:szCs w:val="24"/>
        </w:rPr>
        <w:t xml:space="preserve"> </w:t>
      </w:r>
      <w:r w:rsidRPr="000F6308">
        <w:rPr>
          <w:rFonts w:ascii="Times New Roman" w:hAnsi="Times New Roman" w:cs="Times New Roman"/>
          <w:sz w:val="24"/>
          <w:szCs w:val="24"/>
        </w:rPr>
        <w:t>Оскільки технічний аналіз ґрунтується на логічному припущенні про те, що всі чинники відбиваються у динаміці цін, то у цій динаміці можуть існувати відповідні тенденції, які можуть бути стійкими і їх можна простежити й спрогнозувати з певним ступенем імовірності. Проте є певні особливості.</w:t>
      </w:r>
      <w:r>
        <w:rPr>
          <w:rFonts w:ascii="Times New Roman" w:hAnsi="Times New Roman" w:cs="Times New Roman"/>
          <w:sz w:val="24"/>
          <w:szCs w:val="24"/>
        </w:rPr>
        <w:t xml:space="preserve"> </w:t>
      </w:r>
      <w:r w:rsidRPr="000F6308">
        <w:rPr>
          <w:rFonts w:ascii="Times New Roman" w:hAnsi="Times New Roman" w:cs="Times New Roman"/>
          <w:sz w:val="24"/>
          <w:szCs w:val="24"/>
        </w:rPr>
        <w:t xml:space="preserve">Методи технічного аналізу застосовні тільки до ліквідного і високо конкурентному фондового ринку, де ціни на цінні папери встановлюються в результаті спонтанної «координації» попиту і пропозиції. Це ринок, на якому ви завжди можете купити або продати відповідний актив. Також на цьому ринку не повинно бути суб’єктів, здатних істотно вплинути на зміну цін і конкуренцію. </w:t>
      </w:r>
    </w:p>
    <w:p w14:paraId="04D2E545" w14:textId="77777777" w:rsidR="000F6308" w:rsidRPr="000F6308" w:rsidRDefault="000F6308" w:rsidP="000F6308">
      <w:pPr>
        <w:widowControl w:val="0"/>
        <w:spacing w:after="0" w:line="240" w:lineRule="auto"/>
        <w:ind w:firstLine="709"/>
        <w:jc w:val="both"/>
        <w:rPr>
          <w:rFonts w:ascii="Times New Roman" w:hAnsi="Times New Roman" w:cs="Times New Roman"/>
          <w:sz w:val="24"/>
          <w:szCs w:val="24"/>
        </w:rPr>
      </w:pPr>
      <w:r w:rsidRPr="000F6308">
        <w:rPr>
          <w:rFonts w:ascii="Times New Roman" w:hAnsi="Times New Roman" w:cs="Times New Roman"/>
          <w:sz w:val="24"/>
          <w:szCs w:val="24"/>
        </w:rPr>
        <w:t>Технічні аналітики вивчають стан ринку, щоб вибрати момент купівлі або продажу фінансових інструментів. Основними об’єктами технічного аналізу є динаміка ставок (цін) та динаміка обсягів торгів фінансовими інструментами. Але слід також звернути увагу на основні недоліки технічного аналізу.</w:t>
      </w:r>
    </w:p>
    <w:p w14:paraId="29B24C2E" w14:textId="77777777" w:rsidR="000F6308" w:rsidRPr="000F6308" w:rsidRDefault="000F6308" w:rsidP="000F6308">
      <w:pPr>
        <w:widowControl w:val="0"/>
        <w:spacing w:after="0" w:line="240" w:lineRule="auto"/>
        <w:ind w:firstLine="709"/>
        <w:jc w:val="both"/>
        <w:rPr>
          <w:rFonts w:ascii="Times New Roman" w:hAnsi="Times New Roman" w:cs="Times New Roman"/>
          <w:sz w:val="24"/>
          <w:szCs w:val="24"/>
        </w:rPr>
      </w:pPr>
      <w:r w:rsidRPr="000F6308">
        <w:rPr>
          <w:rFonts w:ascii="Times New Roman" w:hAnsi="Times New Roman" w:cs="Times New Roman"/>
          <w:sz w:val="24"/>
          <w:szCs w:val="24"/>
        </w:rPr>
        <w:t>1. Технічний аналітик приймає рішення купувати або продавати фінансові інструменти лише після того, як продемонстрована тенденція, і в той же час на ринку можуть бути значні коливання цін, що може призвести до збитків для технічного аналітика та його клієнтів.</w:t>
      </w:r>
    </w:p>
    <w:p w14:paraId="0E62F4B1" w14:textId="38213875" w:rsidR="000F6308" w:rsidRDefault="000F6308" w:rsidP="000F6308">
      <w:pPr>
        <w:widowControl w:val="0"/>
        <w:spacing w:after="0" w:line="240" w:lineRule="auto"/>
        <w:ind w:firstLine="709"/>
        <w:jc w:val="both"/>
        <w:rPr>
          <w:rFonts w:ascii="Times New Roman" w:hAnsi="Times New Roman" w:cs="Times New Roman"/>
          <w:sz w:val="24"/>
          <w:szCs w:val="24"/>
        </w:rPr>
      </w:pPr>
      <w:r w:rsidRPr="000F6308">
        <w:rPr>
          <w:rFonts w:ascii="Times New Roman" w:hAnsi="Times New Roman" w:cs="Times New Roman"/>
          <w:sz w:val="24"/>
          <w:szCs w:val="24"/>
        </w:rPr>
        <w:t>2. Ефективність технічного аналізу зменшується зі збільшенням кількості користувачів результатів технічного аналізу. Тільки ті учасники, які бачили тенденцію раніше за інших або продавали або купували фінансові інструменти до того моменту, коли ціна досягла рівня опору або ліній підтримки, можуть отримати позитивні результати.</w:t>
      </w:r>
    </w:p>
    <w:p w14:paraId="0929C27C" w14:textId="7A891163"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Так інвестор Е. Найман, вважає, що фундаментальний аналіз вивчає лише рухи цін на макрорівні, та сприяє виявленню головного ринкового тренду. Але для встановлення поточного стану прийняття рішення щодо біржової угоди фундаментального аналізу недостатньо [</w:t>
      </w:r>
      <w:r w:rsidR="00F50409">
        <w:rPr>
          <w:rFonts w:ascii="Times New Roman" w:hAnsi="Times New Roman" w:cs="Times New Roman"/>
          <w:sz w:val="24"/>
          <w:szCs w:val="24"/>
        </w:rPr>
        <w:t>1</w:t>
      </w:r>
      <w:r w:rsidRPr="00656845">
        <w:rPr>
          <w:rFonts w:ascii="Times New Roman" w:hAnsi="Times New Roman" w:cs="Times New Roman"/>
          <w:sz w:val="24"/>
          <w:szCs w:val="24"/>
        </w:rPr>
        <w:t>]. Це пояснюється наступними факторами:</w:t>
      </w:r>
    </w:p>
    <w:p w14:paraId="2216D63B" w14:textId="177223E5" w:rsidR="000F6308" w:rsidRPr="00656845" w:rsidRDefault="00656845" w:rsidP="0065684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F6308" w:rsidRPr="00656845">
        <w:rPr>
          <w:rFonts w:ascii="Times New Roman" w:hAnsi="Times New Roman" w:cs="Times New Roman"/>
          <w:sz w:val="24"/>
          <w:szCs w:val="24"/>
        </w:rPr>
        <w:t>процес фундаментального аналізу вимагає опрацювання дуже великої кількості факторів та часових затрат – в результаті отримуються висновки неоднозначного трактування;</w:t>
      </w:r>
    </w:p>
    <w:p w14:paraId="61255E56" w14:textId="1B9CC7EE" w:rsidR="000F6308" w:rsidRPr="00656845" w:rsidRDefault="00656845" w:rsidP="0065684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F6308" w:rsidRPr="00656845">
        <w:rPr>
          <w:rFonts w:ascii="Times New Roman" w:hAnsi="Times New Roman" w:cs="Times New Roman"/>
          <w:sz w:val="24"/>
          <w:szCs w:val="24"/>
        </w:rPr>
        <w:t xml:space="preserve"> фундаментальний аналіз не показує короткострокової поведінки ціни, а дає лише трендові прогнози в довгостроковому періоді.</w:t>
      </w:r>
    </w:p>
    <w:p w14:paraId="7DC4119D" w14:textId="1500A1CE"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О.Г. Шевченко дотримується аналогічної думки, оскільки вважає, що фундаментальний аналіз має з’ясувати, який актив треба купувати, технічний аналіз – коли саме це здійснити [2]. Також є поширеним на світових фондових ринках так званий тест Баффета для прийняття правильного біржового рішення [3]:</w:t>
      </w:r>
      <w:r w:rsidR="00656845">
        <w:rPr>
          <w:rFonts w:ascii="Times New Roman" w:hAnsi="Times New Roman" w:cs="Times New Roman"/>
          <w:sz w:val="24"/>
          <w:szCs w:val="24"/>
        </w:rPr>
        <w:t xml:space="preserve"> </w:t>
      </w:r>
      <w:r w:rsidRPr="00656845">
        <w:rPr>
          <w:rFonts w:ascii="Times New Roman" w:hAnsi="Times New Roman" w:cs="Times New Roman"/>
          <w:sz w:val="24"/>
          <w:szCs w:val="24"/>
        </w:rPr>
        <w:t xml:space="preserve">1.Чи достатньо інформації про </w:t>
      </w:r>
      <w:r w:rsidRPr="00656845">
        <w:rPr>
          <w:rFonts w:ascii="Times New Roman" w:hAnsi="Times New Roman" w:cs="Times New Roman"/>
          <w:sz w:val="24"/>
          <w:szCs w:val="24"/>
        </w:rPr>
        <w:lastRenderedPageBreak/>
        <w:t>бізнес компанії? 2.Як компанія проявила себе за останні роки? 3.Чи є довгострокові перспективи? 4.Чи діють менеджери компанії раціонально? 5.Чи відкриті менеджери? 6.Чи ставлять менеджери інтереси акціонерів вище своїх? 7.Наскільки рентабельна компанія? 8.Чи достатній вільний грошовий потік для акціонерів? 9.Яка віддача на вкладений капітал? 10.Чи має компанія явні конкурентні переваги? 11.Яка справедлива ціна акцій компанії?</w:t>
      </w:r>
    </w:p>
    <w:p w14:paraId="65E4BF2D"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Так, питання оцінюється за п’ятибальною шкалою:</w:t>
      </w:r>
    </w:p>
    <w:p w14:paraId="13870707"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 значення 5 означає максимально позитивну відповідь;</w:t>
      </w:r>
    </w:p>
    <w:p w14:paraId="3E255DAD"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 значення 1 – максимально негативну відповідь.</w:t>
      </w:r>
    </w:p>
    <w:p w14:paraId="3A879049"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За кожним питанням розраховується середній бал на основі оцінок експертів за наступною формулою:</w:t>
      </w:r>
    </w:p>
    <w:p w14:paraId="7DB72392"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75DC9D2F" w14:textId="34D4F679" w:rsidR="000F6308" w:rsidRPr="00656845" w:rsidRDefault="000F6308" w:rsidP="00656845">
      <w:pPr>
        <w:widowControl w:val="0"/>
        <w:spacing w:after="0" w:line="240" w:lineRule="auto"/>
        <w:ind w:firstLine="709"/>
        <w:jc w:val="right"/>
        <w:rPr>
          <w:rFonts w:ascii="Times New Roman" w:hAnsi="Times New Roman" w:cs="Times New Roman"/>
          <w:sz w:val="24"/>
          <w:szCs w:val="24"/>
        </w:rPr>
      </w:pPr>
      <m:oMath>
        <m:r>
          <m:rPr>
            <m:sty m:val="p"/>
          </m:rPr>
          <w:rPr>
            <w:rFonts w:ascii="Cambria Math" w:hAnsi="Cambria Math" w:cs="Times New Roman"/>
            <w:sz w:val="24"/>
            <w:szCs w:val="24"/>
          </w:rPr>
          <m:t>Mi</m:t>
        </m:r>
        <m:r>
          <m:rPr>
            <m:sty m:val="p"/>
          </m:rPr>
          <w:rPr>
            <w:rFonts w:ascii="Cambria Math" w:hAnsi="Times New Roman"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ij</m:t>
                    </m:r>
                  </m:sub>
                </m:sSub>
              </m:e>
            </m:nary>
          </m:num>
          <m:den>
            <m:r>
              <m:rPr>
                <m:sty m:val="p"/>
              </m:rPr>
              <w:rPr>
                <w:rFonts w:ascii="Cambria Math" w:hAnsi="Cambria Math" w:cs="Times New Roman"/>
                <w:sz w:val="24"/>
                <w:szCs w:val="24"/>
              </w:rPr>
              <m:t>n</m:t>
            </m:r>
          </m:den>
        </m:f>
      </m:oMath>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t>(1)</w:t>
      </w:r>
    </w:p>
    <w:p w14:paraId="2B870BBC"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76DA0848"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 xml:space="preserve">де </w:t>
      </w:r>
      <w:r w:rsidRPr="00656845">
        <w:rPr>
          <w:rFonts w:ascii="Times New Roman" w:hAnsi="Times New Roman" w:cs="Times New Roman"/>
          <w:sz w:val="24"/>
          <w:szCs w:val="24"/>
        </w:rPr>
        <w:tab/>
      </w:r>
      <m:oMath>
        <m:r>
          <m:rPr>
            <m:sty m:val="p"/>
          </m:rPr>
          <w:rPr>
            <w:rFonts w:ascii="Cambria Math" w:hAnsi="Cambria Math" w:cs="Times New Roman"/>
            <w:sz w:val="24"/>
            <w:szCs w:val="24"/>
          </w:rPr>
          <m:t>Mi</m:t>
        </m:r>
      </m:oMath>
      <w:r w:rsidRPr="00656845">
        <w:rPr>
          <w:rFonts w:ascii="Times New Roman" w:hAnsi="Times New Roman" w:cs="Times New Roman"/>
          <w:sz w:val="24"/>
          <w:szCs w:val="24"/>
        </w:rPr>
        <w:t xml:space="preserve"> – оцінка (бал) на і-те питання;</w:t>
      </w:r>
    </w:p>
    <w:p w14:paraId="257C9BF5" w14:textId="77777777" w:rsidR="000F6308" w:rsidRPr="00656845" w:rsidRDefault="000F6308" w:rsidP="00656845">
      <w:pPr>
        <w:widowControl w:val="0"/>
        <w:spacing w:after="0" w:line="240" w:lineRule="auto"/>
        <w:ind w:left="707" w:firstLine="709"/>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ij</m:t>
            </m:r>
          </m:sub>
        </m:sSub>
      </m:oMath>
      <w:r w:rsidRPr="00656845">
        <w:rPr>
          <w:rFonts w:ascii="Times New Roman" w:hAnsi="Times New Roman" w:cs="Times New Roman"/>
          <w:sz w:val="24"/>
          <w:szCs w:val="24"/>
        </w:rPr>
        <w:t xml:space="preserve"> – оцінка (бал) на і-те питання, j-ого експерта;</w:t>
      </w:r>
    </w:p>
    <w:p w14:paraId="3877CBC3" w14:textId="77777777" w:rsidR="000F6308" w:rsidRPr="00656845" w:rsidRDefault="000F6308" w:rsidP="00656845">
      <w:pPr>
        <w:widowControl w:val="0"/>
        <w:spacing w:after="0" w:line="240" w:lineRule="auto"/>
        <w:ind w:left="707" w:firstLine="709"/>
        <w:jc w:val="both"/>
        <w:rPr>
          <w:rFonts w:ascii="Times New Roman" w:hAnsi="Times New Roman" w:cs="Times New Roman"/>
          <w:sz w:val="24"/>
          <w:szCs w:val="24"/>
        </w:rPr>
      </w:pPr>
      <w:r w:rsidRPr="00656845">
        <w:rPr>
          <w:rFonts w:ascii="Times New Roman" w:hAnsi="Times New Roman" w:cs="Times New Roman"/>
          <w:sz w:val="24"/>
          <w:szCs w:val="24"/>
        </w:rPr>
        <w:t>n – кількість експертів, що оцінили  і-те питання.</w:t>
      </w:r>
    </w:p>
    <w:p w14:paraId="66D0D5CC"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74A6EAC4"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Далі визначається підсумкова оцінка за всіма питаннями, яка виступає критерієм, для прийняття інвестиційного рішення. Підсумкова оцінка – середня з усіх оцінок (балів), помножених на коригуючі коефіцієнти, з допомогою наступної формули:</w:t>
      </w:r>
    </w:p>
    <w:p w14:paraId="4289647A"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2BE07F27" w14:textId="4E92CC7F" w:rsidR="000F6308" w:rsidRPr="00656845" w:rsidRDefault="000F6308" w:rsidP="00656845">
      <w:pPr>
        <w:widowControl w:val="0"/>
        <w:spacing w:after="0" w:line="240" w:lineRule="auto"/>
        <w:ind w:firstLine="709"/>
        <w:jc w:val="right"/>
        <w:rPr>
          <w:rFonts w:ascii="Times New Roman" w:hAnsi="Times New Roman" w:cs="Times New Roman"/>
          <w:sz w:val="24"/>
          <w:szCs w:val="24"/>
        </w:rPr>
      </w:pPr>
      <m:oMath>
        <m:r>
          <m:rPr>
            <m:sty m:val="p"/>
          </m:rPr>
          <w:rPr>
            <w:rFonts w:ascii="Cambria Math" w:hAnsi="Cambria Math" w:cs="Times New Roman"/>
            <w:sz w:val="24"/>
            <w:szCs w:val="24"/>
          </w:rPr>
          <m:t>IK</m:t>
        </m:r>
        <m:r>
          <m:rPr>
            <m:sty m:val="p"/>
          </m:rPr>
          <w:rPr>
            <w:rFonts w:ascii="Cambria Math" w:hAnsi="Times New Roman"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i</m:t>
                    </m:r>
                  </m:sub>
                </m:sSub>
                <m:r>
                  <m:rPr>
                    <m:sty m:val="p"/>
                  </m:rPr>
                  <w:rPr>
                    <w:rFonts w:ascii="Cambria Math" w:hAnsi="Times New Roman"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i</m:t>
                    </m:r>
                  </m:sub>
                </m:sSub>
              </m:e>
            </m:nary>
          </m:num>
          <m:den>
            <m:r>
              <m:rPr>
                <m:sty m:val="p"/>
              </m:rPr>
              <w:rPr>
                <w:rFonts w:ascii="Cambria Math" w:hAnsi="Times New Roman" w:cs="Times New Roman"/>
                <w:sz w:val="24"/>
                <w:szCs w:val="24"/>
              </w:rPr>
              <m:t>11</m:t>
            </m:r>
          </m:den>
        </m:f>
      </m:oMath>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r>
      <w:r w:rsidRPr="00656845">
        <w:rPr>
          <w:rFonts w:ascii="Times New Roman" w:hAnsi="Times New Roman" w:cs="Times New Roman"/>
          <w:sz w:val="24"/>
          <w:szCs w:val="24"/>
        </w:rPr>
        <w:tab/>
        <w:t>(</w:t>
      </w:r>
      <w:r w:rsidR="00656845">
        <w:rPr>
          <w:rFonts w:ascii="Times New Roman" w:hAnsi="Times New Roman" w:cs="Times New Roman"/>
          <w:sz w:val="24"/>
          <w:szCs w:val="24"/>
        </w:rPr>
        <w:t>2</w:t>
      </w:r>
      <w:r w:rsidRPr="00656845">
        <w:rPr>
          <w:rFonts w:ascii="Times New Roman" w:hAnsi="Times New Roman" w:cs="Times New Roman"/>
          <w:sz w:val="24"/>
          <w:szCs w:val="24"/>
        </w:rPr>
        <w:t>)</w:t>
      </w:r>
    </w:p>
    <w:p w14:paraId="5E7AC50C"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26E63AF2" w14:textId="77777777" w:rsidR="000F6308" w:rsidRPr="00656845" w:rsidRDefault="000F6308" w:rsidP="00656845">
      <w:pPr>
        <w:widowControl w:val="0"/>
        <w:spacing w:after="0" w:line="240" w:lineRule="auto"/>
        <w:ind w:left="1418" w:hanging="709"/>
        <w:jc w:val="both"/>
        <w:rPr>
          <w:rFonts w:ascii="Times New Roman" w:hAnsi="Times New Roman" w:cs="Times New Roman"/>
          <w:sz w:val="24"/>
          <w:szCs w:val="24"/>
        </w:rPr>
      </w:pPr>
      <w:r w:rsidRPr="00656845">
        <w:rPr>
          <w:rFonts w:ascii="Times New Roman" w:hAnsi="Times New Roman" w:cs="Times New Roman"/>
          <w:sz w:val="24"/>
          <w:szCs w:val="24"/>
        </w:rPr>
        <w:t>де</w:t>
      </w:r>
      <w:r w:rsidRPr="00656845">
        <w:rPr>
          <w:rFonts w:ascii="Times New Roman" w:hAnsi="Times New Roman" w:cs="Times New Roman"/>
          <w:sz w:val="24"/>
          <w:szCs w:val="24"/>
        </w:rPr>
        <w:tab/>
      </w:r>
      <m:oMath>
        <m:r>
          <m:rPr>
            <m:sty m:val="p"/>
          </m:rPr>
          <w:rPr>
            <w:rFonts w:ascii="Cambria Math" w:hAnsi="Cambria Math" w:cs="Times New Roman"/>
            <w:sz w:val="24"/>
            <w:szCs w:val="24"/>
          </w:rPr>
          <m:t>IK</m:t>
        </m:r>
      </m:oMath>
      <w:r w:rsidRPr="00656845">
        <w:rPr>
          <w:rFonts w:ascii="Times New Roman" w:hAnsi="Times New Roman" w:cs="Times New Roman"/>
          <w:sz w:val="24"/>
          <w:szCs w:val="24"/>
        </w:rPr>
        <w:t xml:space="preserve"> – підсумкова оцінка за всіма питаннями, яка виступає інвестиційним критерієм;</w:t>
      </w:r>
    </w:p>
    <w:p w14:paraId="69702ABB" w14:textId="77777777" w:rsidR="000F6308" w:rsidRPr="00656845" w:rsidRDefault="000F6308" w:rsidP="00656845">
      <w:pPr>
        <w:widowControl w:val="0"/>
        <w:spacing w:after="0" w:line="240" w:lineRule="auto"/>
        <w:ind w:left="707" w:firstLine="709"/>
        <w:jc w:val="both"/>
        <w:rPr>
          <w:rFonts w:ascii="Times New Roman" w:hAnsi="Times New Roman" w:cs="Times New Roman"/>
          <w:sz w:val="24"/>
          <w:szCs w:val="24"/>
        </w:rPr>
      </w:pPr>
      <m:oMath>
        <m:r>
          <m:rPr>
            <m:sty m:val="p"/>
          </m:rPr>
          <w:rPr>
            <w:rFonts w:ascii="Cambria Math" w:hAnsi="Cambria Math" w:cs="Times New Roman"/>
            <w:sz w:val="24"/>
            <w:szCs w:val="24"/>
          </w:rPr>
          <m:t>Mi</m:t>
        </m:r>
      </m:oMath>
      <w:r w:rsidRPr="00656845">
        <w:rPr>
          <w:rFonts w:ascii="Times New Roman" w:hAnsi="Times New Roman" w:cs="Times New Roman"/>
          <w:sz w:val="24"/>
          <w:szCs w:val="24"/>
        </w:rPr>
        <w:t xml:space="preserve"> – оцінка (бал) на і-те питання;</w:t>
      </w:r>
    </w:p>
    <w:p w14:paraId="0F243974" w14:textId="77777777" w:rsidR="000F6308" w:rsidRPr="00656845" w:rsidRDefault="000F6308" w:rsidP="00656845">
      <w:pPr>
        <w:widowControl w:val="0"/>
        <w:spacing w:after="0" w:line="240" w:lineRule="auto"/>
        <w:ind w:left="707" w:firstLine="709"/>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i</m:t>
            </m:r>
          </m:sub>
        </m:sSub>
      </m:oMath>
      <w:r w:rsidRPr="00656845">
        <w:rPr>
          <w:rFonts w:ascii="Times New Roman" w:hAnsi="Times New Roman" w:cs="Times New Roman"/>
          <w:sz w:val="24"/>
          <w:szCs w:val="24"/>
        </w:rPr>
        <w:t xml:space="preserve"> – коригуючий коефіцієнт для і-ого питання, за умови, що </w:t>
      </w:r>
      <m:oMath>
        <m:nary>
          <m:naryPr>
            <m:chr m:val="∑"/>
            <m:limLoc m:val="undOvr"/>
            <m:subHide m:val="1"/>
            <m:supHide m:val="1"/>
            <m:ctrlPr>
              <w:rPr>
                <w:rFonts w:ascii="Cambria Math" w:hAnsi="Cambria Math" w:cs="Times New Roman"/>
                <w:sz w:val="24"/>
                <w:szCs w:val="24"/>
              </w:rPr>
            </m:ctrlPr>
          </m:naryP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i</m:t>
                </m:r>
              </m:sub>
            </m:sSub>
          </m:e>
        </m:nary>
      </m:oMath>
      <w:r w:rsidRPr="00656845">
        <w:rPr>
          <w:rFonts w:ascii="Times New Roman" w:hAnsi="Times New Roman" w:cs="Times New Roman"/>
          <w:sz w:val="24"/>
          <w:szCs w:val="24"/>
        </w:rPr>
        <w:t xml:space="preserve"> = 11.</w:t>
      </w:r>
    </w:p>
    <w:p w14:paraId="7BBCD1BB"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p>
    <w:p w14:paraId="15C6F4CA" w14:textId="77777777" w:rsidR="000F6308" w:rsidRPr="00656845" w:rsidRDefault="000F6308" w:rsidP="00656845">
      <w:pPr>
        <w:widowControl w:val="0"/>
        <w:spacing w:after="0" w:line="240" w:lineRule="auto"/>
        <w:ind w:firstLine="709"/>
        <w:jc w:val="both"/>
        <w:rPr>
          <w:rFonts w:ascii="Times New Roman" w:hAnsi="Times New Roman" w:cs="Times New Roman"/>
          <w:sz w:val="24"/>
          <w:szCs w:val="24"/>
        </w:rPr>
      </w:pPr>
      <w:r w:rsidRPr="00656845">
        <w:rPr>
          <w:rFonts w:ascii="Times New Roman" w:hAnsi="Times New Roman" w:cs="Times New Roman"/>
          <w:sz w:val="24"/>
          <w:szCs w:val="24"/>
        </w:rPr>
        <w:t>Коригуючий коефіцієнт відображає ступінь важливості конкретного питання з точки зору аналізу інвестиційної привабливості компанії-емітента – якщо питання є більш важливим, коригуючий коефіцієнт встановлюються більше 1, у випадку, якщо питання є менш важливим – менше 1. Сума корегуючи коефіцієнтів обов’язково повинна дорівнювати 11. Значення коригуючи коефіцієнтів, доцільно встановлювати згідно консенсусної думки експертів. Інвестиційне рішення, щодо купівлі цінного паперу приймається в тому випадку, якщо підсумкова оцінка (інвестиційний критерій) більше 4 балів. Якщо вона дорівнює менше 4, то інвестиційне рішення стосовно купівлі цінних паперів, згідно даного тесту, приймати недоцільно. Якщо підсумкова кількість балів дорівнює 4, то індикатор на купівлю цінних паперів відсутній, а отже прийняття кінцевого рішення залишається за інвестором.</w:t>
      </w:r>
    </w:p>
    <w:p w14:paraId="3128E7CB" w14:textId="4CF91A28" w:rsidR="000F6308" w:rsidRDefault="000F6308" w:rsidP="00407F63">
      <w:pPr>
        <w:widowControl w:val="0"/>
        <w:spacing w:after="0" w:line="240" w:lineRule="auto"/>
        <w:ind w:firstLine="709"/>
        <w:jc w:val="both"/>
        <w:rPr>
          <w:rFonts w:ascii="Times New Roman" w:hAnsi="Times New Roman" w:cs="Times New Roman"/>
          <w:sz w:val="24"/>
          <w:szCs w:val="24"/>
        </w:rPr>
      </w:pPr>
    </w:p>
    <w:p w14:paraId="3444402F" w14:textId="5938FD5C" w:rsidR="00D46775" w:rsidRPr="003E514A" w:rsidRDefault="003E514A" w:rsidP="003E514A">
      <w:pPr>
        <w:pStyle w:val="a4"/>
        <w:widowControl w:val="0"/>
        <w:shd w:val="clear" w:color="auto" w:fill="FFFFFF"/>
        <w:spacing w:before="0" w:beforeAutospacing="0" w:after="0" w:afterAutospacing="0"/>
        <w:ind w:firstLine="709"/>
        <w:jc w:val="center"/>
        <w:textAlignment w:val="baseline"/>
        <w:rPr>
          <w:b/>
          <w:bCs/>
        </w:rPr>
      </w:pPr>
      <w:r w:rsidRPr="003E514A">
        <w:rPr>
          <w:b/>
          <w:bCs/>
        </w:rPr>
        <w:t>Список використаних джерел</w:t>
      </w:r>
    </w:p>
    <w:p w14:paraId="1136413C" w14:textId="622480B0" w:rsidR="00A5375F" w:rsidRDefault="00656845" w:rsidP="00E11B98">
      <w:pPr>
        <w:pStyle w:val="a4"/>
        <w:widowControl w:val="0"/>
        <w:numPr>
          <w:ilvl w:val="0"/>
          <w:numId w:val="17"/>
        </w:numPr>
        <w:shd w:val="clear" w:color="auto" w:fill="FFFFFF"/>
        <w:tabs>
          <w:tab w:val="left" w:pos="993"/>
        </w:tabs>
        <w:spacing w:before="0" w:beforeAutospacing="0" w:after="0" w:afterAutospacing="0"/>
        <w:ind w:left="0" w:firstLine="709"/>
        <w:jc w:val="both"/>
        <w:textAlignment w:val="baseline"/>
      </w:pPr>
      <w:r w:rsidRPr="00656845">
        <w:t xml:space="preserve">Фундаментальний та технічний аналіз цін товарних та фінансових ринків. Навчальний посібник / Сохацька О.М., Роговська-Іщук І.В., Вінницький С.І. К. :Кондор, 2012. 305 </w:t>
      </w:r>
      <w:r w:rsidR="00F50409">
        <w:t>с</w:t>
      </w:r>
      <w:r w:rsidR="001D31A2" w:rsidRPr="001D31A2">
        <w:t>.</w:t>
      </w:r>
    </w:p>
    <w:p w14:paraId="3DEE0168" w14:textId="600091DF" w:rsidR="00A5375F" w:rsidRPr="003E514A" w:rsidRDefault="00F50409" w:rsidP="00E11B98">
      <w:pPr>
        <w:pStyle w:val="a4"/>
        <w:widowControl w:val="0"/>
        <w:numPr>
          <w:ilvl w:val="0"/>
          <w:numId w:val="17"/>
        </w:numPr>
        <w:shd w:val="clear" w:color="auto" w:fill="FFFFFF"/>
        <w:tabs>
          <w:tab w:val="left" w:pos="993"/>
        </w:tabs>
        <w:spacing w:before="0" w:beforeAutospacing="0" w:after="0" w:afterAutospacing="0"/>
        <w:ind w:left="0" w:firstLine="709"/>
        <w:jc w:val="both"/>
        <w:textAlignment w:val="baseline"/>
      </w:pPr>
      <w:r w:rsidRPr="00F50409">
        <w:t>Згурська, О.М., Сьомкіна</w:t>
      </w:r>
      <w:r>
        <w:t xml:space="preserve"> Т.В.</w:t>
      </w:r>
      <w:r w:rsidRPr="00F50409">
        <w:t>, Гужавіна</w:t>
      </w:r>
      <w:r>
        <w:t xml:space="preserve"> І.В.</w:t>
      </w:r>
      <w:r w:rsidRPr="00F50409">
        <w:t xml:space="preserve">. Фундаментальні тренди розвитку світової біржової торгівлі. </w:t>
      </w:r>
      <w:r w:rsidRPr="00F50409">
        <w:rPr>
          <w:i/>
          <w:iCs/>
        </w:rPr>
        <w:t>Інвестиції: практика та досвід</w:t>
      </w:r>
      <w:r w:rsidRPr="00F50409">
        <w:t xml:space="preserve">. 2020. </w:t>
      </w:r>
      <w:r>
        <w:t>№</w:t>
      </w:r>
      <w:r w:rsidRPr="00F50409">
        <w:t>24. С. 5-9</w:t>
      </w:r>
      <w:r w:rsidR="00A5375F" w:rsidRPr="003E514A">
        <w:t>.</w:t>
      </w:r>
    </w:p>
    <w:p w14:paraId="5E6E8C5A" w14:textId="2C9ABF91" w:rsidR="002945A3" w:rsidRPr="003E514A" w:rsidRDefault="00F50409" w:rsidP="00E11B98">
      <w:pPr>
        <w:pStyle w:val="a4"/>
        <w:widowControl w:val="0"/>
        <w:numPr>
          <w:ilvl w:val="0"/>
          <w:numId w:val="17"/>
        </w:numPr>
        <w:shd w:val="clear" w:color="auto" w:fill="FFFFFF"/>
        <w:tabs>
          <w:tab w:val="left" w:pos="993"/>
        </w:tabs>
        <w:spacing w:before="0" w:beforeAutospacing="0" w:after="0" w:afterAutospacing="0"/>
        <w:ind w:left="0" w:firstLine="709"/>
        <w:jc w:val="both"/>
        <w:textAlignment w:val="baseline"/>
      </w:pPr>
      <w:r w:rsidRPr="00F50409">
        <w:t>Солодкий М.О. Біржовий ринок: Навч. посіб. / М.О. Солодкий. 2-ге вид., випр. К. : Джерела</w:t>
      </w:r>
      <w:r>
        <w:t>-</w:t>
      </w:r>
      <w:r w:rsidRPr="00F50409">
        <w:t>М, 2015. 336 с.</w:t>
      </w:r>
    </w:p>
    <w:sectPr w:rsidR="002945A3" w:rsidRPr="003E514A" w:rsidSect="00E11B9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27AE" w14:textId="77777777" w:rsidR="00D80E79" w:rsidRDefault="00D80E79" w:rsidP="00A31336">
      <w:pPr>
        <w:spacing w:after="0" w:line="240" w:lineRule="auto"/>
      </w:pPr>
      <w:r>
        <w:separator/>
      </w:r>
    </w:p>
  </w:endnote>
  <w:endnote w:type="continuationSeparator" w:id="0">
    <w:p w14:paraId="0C9C8599" w14:textId="77777777" w:rsidR="00D80E79" w:rsidRDefault="00D80E79" w:rsidP="00A3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
    <w:altName w:val="Times New Roman"/>
    <w:panose1 w:val="00000000000000000000"/>
    <w:charset w:val="00"/>
    <w:family w:val="roman"/>
    <w:notTrueType/>
    <w:pitch w:val="default"/>
  </w:font>
  <w:font w:name="TimesNewRoman">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E033" w14:textId="77777777" w:rsidR="00D80E79" w:rsidRDefault="00D80E79" w:rsidP="00A31336">
      <w:pPr>
        <w:spacing w:after="0" w:line="240" w:lineRule="auto"/>
      </w:pPr>
      <w:r>
        <w:separator/>
      </w:r>
    </w:p>
  </w:footnote>
  <w:footnote w:type="continuationSeparator" w:id="0">
    <w:p w14:paraId="3F86F68B" w14:textId="77777777" w:rsidR="00D80E79" w:rsidRDefault="00D80E79" w:rsidP="00A3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88E"/>
    <w:multiLevelType w:val="hybridMultilevel"/>
    <w:tmpl w:val="56B0F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AB60D2"/>
    <w:multiLevelType w:val="hybridMultilevel"/>
    <w:tmpl w:val="26B41E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820751D"/>
    <w:multiLevelType w:val="hybridMultilevel"/>
    <w:tmpl w:val="5A26FB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445506"/>
    <w:multiLevelType w:val="hybridMultilevel"/>
    <w:tmpl w:val="157C8A2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0FB83028"/>
    <w:multiLevelType w:val="hybridMultilevel"/>
    <w:tmpl w:val="5B680316"/>
    <w:lvl w:ilvl="0" w:tplc="0419000F">
      <w:start w:val="1"/>
      <w:numFmt w:val="decimal"/>
      <w:lvlText w:val="%1."/>
      <w:lvlJc w:val="left"/>
      <w:pPr>
        <w:ind w:left="2138"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37F1719"/>
    <w:multiLevelType w:val="hybridMultilevel"/>
    <w:tmpl w:val="9586A36A"/>
    <w:lvl w:ilvl="0" w:tplc="68C025F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D352FD5"/>
    <w:multiLevelType w:val="hybridMultilevel"/>
    <w:tmpl w:val="6AEC4ECC"/>
    <w:lvl w:ilvl="0" w:tplc="68C025F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D921EF8"/>
    <w:multiLevelType w:val="hybridMultilevel"/>
    <w:tmpl w:val="60808F60"/>
    <w:lvl w:ilvl="0" w:tplc="FAFAFF0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C4B7750"/>
    <w:multiLevelType w:val="hybridMultilevel"/>
    <w:tmpl w:val="BC4AD5C0"/>
    <w:lvl w:ilvl="0" w:tplc="7C30A70A">
      <w:start w:val="1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4350EB7"/>
    <w:multiLevelType w:val="hybridMultilevel"/>
    <w:tmpl w:val="7674BB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7BF4F88"/>
    <w:multiLevelType w:val="hybridMultilevel"/>
    <w:tmpl w:val="741CB158"/>
    <w:lvl w:ilvl="0" w:tplc="D2F803B4">
      <w:start w:val="2"/>
      <w:numFmt w:val="bullet"/>
      <w:lvlText w:val="-"/>
      <w:lvlJc w:val="left"/>
      <w:pPr>
        <w:ind w:left="1126" w:hanging="360"/>
      </w:pPr>
      <w:rPr>
        <w:rFonts w:ascii="Times New Roman" w:eastAsia="Times New Roman"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11" w15:restartNumberingAfterBreak="0">
    <w:nsid w:val="40425B4E"/>
    <w:multiLevelType w:val="hybridMultilevel"/>
    <w:tmpl w:val="B4222992"/>
    <w:lvl w:ilvl="0" w:tplc="3914269C">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5EB1044"/>
    <w:multiLevelType w:val="hybridMultilevel"/>
    <w:tmpl w:val="5A3072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ABB7110"/>
    <w:multiLevelType w:val="hybridMultilevel"/>
    <w:tmpl w:val="637C0DAE"/>
    <w:lvl w:ilvl="0" w:tplc="C2CCAE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CB9626E"/>
    <w:multiLevelType w:val="hybridMultilevel"/>
    <w:tmpl w:val="549C615E"/>
    <w:lvl w:ilvl="0" w:tplc="0ED202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6B61FC9"/>
    <w:multiLevelType w:val="hybridMultilevel"/>
    <w:tmpl w:val="020CEA34"/>
    <w:lvl w:ilvl="0" w:tplc="4554F8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8D752BD"/>
    <w:multiLevelType w:val="hybridMultilevel"/>
    <w:tmpl w:val="E73C868C"/>
    <w:lvl w:ilvl="0" w:tplc="6D78124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A1557A9"/>
    <w:multiLevelType w:val="hybridMultilevel"/>
    <w:tmpl w:val="7A3CC42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B1362EC"/>
    <w:multiLevelType w:val="hybridMultilevel"/>
    <w:tmpl w:val="75D6F1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217356794">
    <w:abstractNumId w:val="3"/>
  </w:num>
  <w:num w:numId="2" w16cid:durableId="1875534204">
    <w:abstractNumId w:val="17"/>
  </w:num>
  <w:num w:numId="3" w16cid:durableId="1108500201">
    <w:abstractNumId w:val="2"/>
  </w:num>
  <w:num w:numId="4" w16cid:durableId="1009452713">
    <w:abstractNumId w:val="0"/>
  </w:num>
  <w:num w:numId="5" w16cid:durableId="1653682006">
    <w:abstractNumId w:val="12"/>
  </w:num>
  <w:num w:numId="6" w16cid:durableId="1674642746">
    <w:abstractNumId w:val="8"/>
  </w:num>
  <w:num w:numId="7" w16cid:durableId="689381836">
    <w:abstractNumId w:val="18"/>
  </w:num>
  <w:num w:numId="8" w16cid:durableId="1631978969">
    <w:abstractNumId w:val="15"/>
  </w:num>
  <w:num w:numId="9" w16cid:durableId="1688482220">
    <w:abstractNumId w:val="6"/>
  </w:num>
  <w:num w:numId="10" w16cid:durableId="1006136203">
    <w:abstractNumId w:val="11"/>
  </w:num>
  <w:num w:numId="11" w16cid:durableId="627854753">
    <w:abstractNumId w:val="4"/>
  </w:num>
  <w:num w:numId="12" w16cid:durableId="207760279">
    <w:abstractNumId w:val="14"/>
  </w:num>
  <w:num w:numId="13" w16cid:durableId="1049647652">
    <w:abstractNumId w:val="9"/>
  </w:num>
  <w:num w:numId="14" w16cid:durableId="111486578">
    <w:abstractNumId w:val="5"/>
  </w:num>
  <w:num w:numId="15" w16cid:durableId="211969025">
    <w:abstractNumId w:val="16"/>
  </w:num>
  <w:num w:numId="16" w16cid:durableId="1646660097">
    <w:abstractNumId w:val="1"/>
  </w:num>
  <w:num w:numId="17" w16cid:durableId="43599364">
    <w:abstractNumId w:val="13"/>
  </w:num>
  <w:num w:numId="18" w16cid:durableId="439647203">
    <w:abstractNumId w:val="10"/>
  </w:num>
  <w:num w:numId="19" w16cid:durableId="1067532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CA"/>
    <w:rsid w:val="00000F23"/>
    <w:rsid w:val="000047C9"/>
    <w:rsid w:val="00004A81"/>
    <w:rsid w:val="00016EE0"/>
    <w:rsid w:val="00020375"/>
    <w:rsid w:val="00026384"/>
    <w:rsid w:val="00031D85"/>
    <w:rsid w:val="00032D97"/>
    <w:rsid w:val="00040A2F"/>
    <w:rsid w:val="00041B5D"/>
    <w:rsid w:val="0004336E"/>
    <w:rsid w:val="00057A9E"/>
    <w:rsid w:val="00065CD6"/>
    <w:rsid w:val="000722E2"/>
    <w:rsid w:val="00073A91"/>
    <w:rsid w:val="000764D7"/>
    <w:rsid w:val="00081D4D"/>
    <w:rsid w:val="00082057"/>
    <w:rsid w:val="000922B1"/>
    <w:rsid w:val="000A23A8"/>
    <w:rsid w:val="000A7F89"/>
    <w:rsid w:val="000B768B"/>
    <w:rsid w:val="000C1712"/>
    <w:rsid w:val="000D423C"/>
    <w:rsid w:val="000E2D9D"/>
    <w:rsid w:val="000F168C"/>
    <w:rsid w:val="000F3B1E"/>
    <w:rsid w:val="000F3B71"/>
    <w:rsid w:val="000F6308"/>
    <w:rsid w:val="00104B3F"/>
    <w:rsid w:val="00113253"/>
    <w:rsid w:val="00117238"/>
    <w:rsid w:val="00131C1E"/>
    <w:rsid w:val="001323D0"/>
    <w:rsid w:val="00134AD6"/>
    <w:rsid w:val="00143F89"/>
    <w:rsid w:val="00146357"/>
    <w:rsid w:val="00153B88"/>
    <w:rsid w:val="00154FD0"/>
    <w:rsid w:val="001627E8"/>
    <w:rsid w:val="00163669"/>
    <w:rsid w:val="00163BAF"/>
    <w:rsid w:val="001729C6"/>
    <w:rsid w:val="001812E9"/>
    <w:rsid w:val="0018785B"/>
    <w:rsid w:val="001A3913"/>
    <w:rsid w:val="001B0CFE"/>
    <w:rsid w:val="001B2780"/>
    <w:rsid w:val="001B78DA"/>
    <w:rsid w:val="001C5AB5"/>
    <w:rsid w:val="001C6A8C"/>
    <w:rsid w:val="001D31A2"/>
    <w:rsid w:val="001D6183"/>
    <w:rsid w:val="001E214B"/>
    <w:rsid w:val="001E3965"/>
    <w:rsid w:val="001E4985"/>
    <w:rsid w:val="001E5BEC"/>
    <w:rsid w:val="001E5C4A"/>
    <w:rsid w:val="0022621E"/>
    <w:rsid w:val="002336F1"/>
    <w:rsid w:val="002434D2"/>
    <w:rsid w:val="0024506B"/>
    <w:rsid w:val="002504B8"/>
    <w:rsid w:val="00254427"/>
    <w:rsid w:val="00262F6F"/>
    <w:rsid w:val="00263201"/>
    <w:rsid w:val="002674F1"/>
    <w:rsid w:val="0026782E"/>
    <w:rsid w:val="00274DB6"/>
    <w:rsid w:val="0028043F"/>
    <w:rsid w:val="002830D6"/>
    <w:rsid w:val="00284CC4"/>
    <w:rsid w:val="00287F5B"/>
    <w:rsid w:val="002945A3"/>
    <w:rsid w:val="002B610B"/>
    <w:rsid w:val="002F06D3"/>
    <w:rsid w:val="003010E0"/>
    <w:rsid w:val="00312CFA"/>
    <w:rsid w:val="0031773C"/>
    <w:rsid w:val="00331D8A"/>
    <w:rsid w:val="003328C7"/>
    <w:rsid w:val="00336158"/>
    <w:rsid w:val="00336851"/>
    <w:rsid w:val="00360744"/>
    <w:rsid w:val="003723FD"/>
    <w:rsid w:val="003766FD"/>
    <w:rsid w:val="00377B74"/>
    <w:rsid w:val="003935B7"/>
    <w:rsid w:val="003A1CD1"/>
    <w:rsid w:val="003B5CAB"/>
    <w:rsid w:val="003C10C5"/>
    <w:rsid w:val="003D1656"/>
    <w:rsid w:val="003D2C12"/>
    <w:rsid w:val="003D4511"/>
    <w:rsid w:val="003E514A"/>
    <w:rsid w:val="003F01A3"/>
    <w:rsid w:val="003F132D"/>
    <w:rsid w:val="00407F63"/>
    <w:rsid w:val="00410790"/>
    <w:rsid w:val="00414A38"/>
    <w:rsid w:val="00415A6C"/>
    <w:rsid w:val="004258DE"/>
    <w:rsid w:val="00425E2A"/>
    <w:rsid w:val="004301B4"/>
    <w:rsid w:val="00432821"/>
    <w:rsid w:val="00434198"/>
    <w:rsid w:val="00435913"/>
    <w:rsid w:val="00435EF5"/>
    <w:rsid w:val="0046030E"/>
    <w:rsid w:val="0046191D"/>
    <w:rsid w:val="00467346"/>
    <w:rsid w:val="00476FBD"/>
    <w:rsid w:val="00484539"/>
    <w:rsid w:val="0048618F"/>
    <w:rsid w:val="0049086F"/>
    <w:rsid w:val="004955FA"/>
    <w:rsid w:val="004A4230"/>
    <w:rsid w:val="004A693F"/>
    <w:rsid w:val="004B4012"/>
    <w:rsid w:val="004C789B"/>
    <w:rsid w:val="004C7C2B"/>
    <w:rsid w:val="004E51AD"/>
    <w:rsid w:val="005022E6"/>
    <w:rsid w:val="00517BAC"/>
    <w:rsid w:val="00523D0F"/>
    <w:rsid w:val="005331E9"/>
    <w:rsid w:val="00533FF8"/>
    <w:rsid w:val="00561051"/>
    <w:rsid w:val="00561356"/>
    <w:rsid w:val="005615C4"/>
    <w:rsid w:val="005749D6"/>
    <w:rsid w:val="005776B3"/>
    <w:rsid w:val="00591F3E"/>
    <w:rsid w:val="005A49F3"/>
    <w:rsid w:val="005B1384"/>
    <w:rsid w:val="005B37C7"/>
    <w:rsid w:val="005B4C9B"/>
    <w:rsid w:val="005B54B4"/>
    <w:rsid w:val="005B5755"/>
    <w:rsid w:val="005D25BD"/>
    <w:rsid w:val="005D40A1"/>
    <w:rsid w:val="005D601F"/>
    <w:rsid w:val="005F5F44"/>
    <w:rsid w:val="00602199"/>
    <w:rsid w:val="00606F16"/>
    <w:rsid w:val="0061663C"/>
    <w:rsid w:val="00633A5A"/>
    <w:rsid w:val="00656845"/>
    <w:rsid w:val="006600CA"/>
    <w:rsid w:val="00670D93"/>
    <w:rsid w:val="00674EEF"/>
    <w:rsid w:val="006A3114"/>
    <w:rsid w:val="006A3FE1"/>
    <w:rsid w:val="006A7287"/>
    <w:rsid w:val="006B36BF"/>
    <w:rsid w:val="006C7BD7"/>
    <w:rsid w:val="006D66B2"/>
    <w:rsid w:val="006F0626"/>
    <w:rsid w:val="006F336F"/>
    <w:rsid w:val="006F7E5C"/>
    <w:rsid w:val="00704B4F"/>
    <w:rsid w:val="00712CE2"/>
    <w:rsid w:val="00712CF4"/>
    <w:rsid w:val="00712FD0"/>
    <w:rsid w:val="00720F94"/>
    <w:rsid w:val="007232A0"/>
    <w:rsid w:val="00737104"/>
    <w:rsid w:val="00740058"/>
    <w:rsid w:val="007452EF"/>
    <w:rsid w:val="007626AC"/>
    <w:rsid w:val="00773921"/>
    <w:rsid w:val="00776948"/>
    <w:rsid w:val="00781B81"/>
    <w:rsid w:val="0078297E"/>
    <w:rsid w:val="00786CB4"/>
    <w:rsid w:val="007870B9"/>
    <w:rsid w:val="00795254"/>
    <w:rsid w:val="007C35CA"/>
    <w:rsid w:val="007C3943"/>
    <w:rsid w:val="007D3B21"/>
    <w:rsid w:val="007E41FD"/>
    <w:rsid w:val="007F65A5"/>
    <w:rsid w:val="007F7930"/>
    <w:rsid w:val="007F7D14"/>
    <w:rsid w:val="008034EC"/>
    <w:rsid w:val="00803640"/>
    <w:rsid w:val="00804174"/>
    <w:rsid w:val="00807ED6"/>
    <w:rsid w:val="00811E5E"/>
    <w:rsid w:val="00825CB5"/>
    <w:rsid w:val="0083659A"/>
    <w:rsid w:val="00837837"/>
    <w:rsid w:val="0085483B"/>
    <w:rsid w:val="00862456"/>
    <w:rsid w:val="008636C3"/>
    <w:rsid w:val="0086561B"/>
    <w:rsid w:val="008928B2"/>
    <w:rsid w:val="008A148E"/>
    <w:rsid w:val="008B1CDC"/>
    <w:rsid w:val="008B4068"/>
    <w:rsid w:val="008D03D7"/>
    <w:rsid w:val="008D3ACD"/>
    <w:rsid w:val="008D75A9"/>
    <w:rsid w:val="008E2248"/>
    <w:rsid w:val="008E3AAA"/>
    <w:rsid w:val="008E5322"/>
    <w:rsid w:val="008E6E3E"/>
    <w:rsid w:val="008F33C0"/>
    <w:rsid w:val="009070C8"/>
    <w:rsid w:val="009119E8"/>
    <w:rsid w:val="00924BAE"/>
    <w:rsid w:val="00925E16"/>
    <w:rsid w:val="00937692"/>
    <w:rsid w:val="00941A45"/>
    <w:rsid w:val="00947D3D"/>
    <w:rsid w:val="00961B85"/>
    <w:rsid w:val="0097279E"/>
    <w:rsid w:val="00974586"/>
    <w:rsid w:val="00982A44"/>
    <w:rsid w:val="00982BDF"/>
    <w:rsid w:val="009917A3"/>
    <w:rsid w:val="00993189"/>
    <w:rsid w:val="00994125"/>
    <w:rsid w:val="0099426E"/>
    <w:rsid w:val="009A19A4"/>
    <w:rsid w:val="009A4AA0"/>
    <w:rsid w:val="009B0D49"/>
    <w:rsid w:val="009B6087"/>
    <w:rsid w:val="009C2BAA"/>
    <w:rsid w:val="009C570C"/>
    <w:rsid w:val="009D26FC"/>
    <w:rsid w:val="009D3F6C"/>
    <w:rsid w:val="009D62A8"/>
    <w:rsid w:val="009E0B6E"/>
    <w:rsid w:val="009E6D08"/>
    <w:rsid w:val="00A018C2"/>
    <w:rsid w:val="00A26BA2"/>
    <w:rsid w:val="00A2722A"/>
    <w:rsid w:val="00A30D2E"/>
    <w:rsid w:val="00A31336"/>
    <w:rsid w:val="00A352F6"/>
    <w:rsid w:val="00A460D9"/>
    <w:rsid w:val="00A5375F"/>
    <w:rsid w:val="00A66C4F"/>
    <w:rsid w:val="00A70E5C"/>
    <w:rsid w:val="00A81881"/>
    <w:rsid w:val="00AB38F2"/>
    <w:rsid w:val="00AC5AD3"/>
    <w:rsid w:val="00AC636F"/>
    <w:rsid w:val="00B3006F"/>
    <w:rsid w:val="00B40001"/>
    <w:rsid w:val="00B451AA"/>
    <w:rsid w:val="00B57682"/>
    <w:rsid w:val="00B74299"/>
    <w:rsid w:val="00B76C83"/>
    <w:rsid w:val="00B87335"/>
    <w:rsid w:val="00BA335F"/>
    <w:rsid w:val="00BA5CE7"/>
    <w:rsid w:val="00BB2E41"/>
    <w:rsid w:val="00BB7208"/>
    <w:rsid w:val="00BC46B1"/>
    <w:rsid w:val="00BD5839"/>
    <w:rsid w:val="00C00AFB"/>
    <w:rsid w:val="00C01463"/>
    <w:rsid w:val="00C06CD2"/>
    <w:rsid w:val="00C12AC2"/>
    <w:rsid w:val="00C17C0D"/>
    <w:rsid w:val="00C21439"/>
    <w:rsid w:val="00C214FA"/>
    <w:rsid w:val="00C22336"/>
    <w:rsid w:val="00C26B30"/>
    <w:rsid w:val="00C276A9"/>
    <w:rsid w:val="00C31962"/>
    <w:rsid w:val="00C33FE9"/>
    <w:rsid w:val="00C456D5"/>
    <w:rsid w:val="00C4598D"/>
    <w:rsid w:val="00C459C6"/>
    <w:rsid w:val="00C474D5"/>
    <w:rsid w:val="00C56545"/>
    <w:rsid w:val="00C57CAE"/>
    <w:rsid w:val="00C61629"/>
    <w:rsid w:val="00C65D30"/>
    <w:rsid w:val="00C76F51"/>
    <w:rsid w:val="00C865E3"/>
    <w:rsid w:val="00CA2D65"/>
    <w:rsid w:val="00CC0E28"/>
    <w:rsid w:val="00CC70A3"/>
    <w:rsid w:val="00CD2A0D"/>
    <w:rsid w:val="00CD62F3"/>
    <w:rsid w:val="00CE3F62"/>
    <w:rsid w:val="00CE7C87"/>
    <w:rsid w:val="00CF47C7"/>
    <w:rsid w:val="00D042DD"/>
    <w:rsid w:val="00D12DD3"/>
    <w:rsid w:val="00D218D0"/>
    <w:rsid w:val="00D22FFF"/>
    <w:rsid w:val="00D32DE0"/>
    <w:rsid w:val="00D358AD"/>
    <w:rsid w:val="00D440D7"/>
    <w:rsid w:val="00D45133"/>
    <w:rsid w:val="00D4652F"/>
    <w:rsid w:val="00D46757"/>
    <w:rsid w:val="00D46775"/>
    <w:rsid w:val="00D517AC"/>
    <w:rsid w:val="00D55A51"/>
    <w:rsid w:val="00D623F4"/>
    <w:rsid w:val="00D70E88"/>
    <w:rsid w:val="00D71059"/>
    <w:rsid w:val="00D73E53"/>
    <w:rsid w:val="00D748BE"/>
    <w:rsid w:val="00D76B36"/>
    <w:rsid w:val="00D80E79"/>
    <w:rsid w:val="00D829C4"/>
    <w:rsid w:val="00D8364A"/>
    <w:rsid w:val="00D85A95"/>
    <w:rsid w:val="00DC23F2"/>
    <w:rsid w:val="00DC2477"/>
    <w:rsid w:val="00DD0F5B"/>
    <w:rsid w:val="00DD2CA9"/>
    <w:rsid w:val="00DD60A7"/>
    <w:rsid w:val="00DE78CB"/>
    <w:rsid w:val="00DF5CF4"/>
    <w:rsid w:val="00E11B98"/>
    <w:rsid w:val="00E1350C"/>
    <w:rsid w:val="00E22AD8"/>
    <w:rsid w:val="00E30CBE"/>
    <w:rsid w:val="00E30EC7"/>
    <w:rsid w:val="00E50CA3"/>
    <w:rsid w:val="00E545BF"/>
    <w:rsid w:val="00E60164"/>
    <w:rsid w:val="00E60A54"/>
    <w:rsid w:val="00E66AFE"/>
    <w:rsid w:val="00E72F58"/>
    <w:rsid w:val="00EA373D"/>
    <w:rsid w:val="00EA6633"/>
    <w:rsid w:val="00EB4031"/>
    <w:rsid w:val="00EB47FB"/>
    <w:rsid w:val="00EC53F0"/>
    <w:rsid w:val="00EE70F6"/>
    <w:rsid w:val="00F05BF0"/>
    <w:rsid w:val="00F05CC3"/>
    <w:rsid w:val="00F1154B"/>
    <w:rsid w:val="00F2553D"/>
    <w:rsid w:val="00F2637A"/>
    <w:rsid w:val="00F2727A"/>
    <w:rsid w:val="00F30D69"/>
    <w:rsid w:val="00F42104"/>
    <w:rsid w:val="00F437B7"/>
    <w:rsid w:val="00F50409"/>
    <w:rsid w:val="00F53472"/>
    <w:rsid w:val="00F61303"/>
    <w:rsid w:val="00F61916"/>
    <w:rsid w:val="00F64F49"/>
    <w:rsid w:val="00F916CA"/>
    <w:rsid w:val="00F95931"/>
    <w:rsid w:val="00FA5D70"/>
    <w:rsid w:val="00FB1C11"/>
    <w:rsid w:val="00FB42F8"/>
    <w:rsid w:val="00FD0A09"/>
    <w:rsid w:val="00FD6879"/>
    <w:rsid w:val="00FF68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DA1B"/>
  <w15:docId w15:val="{351322CD-6F69-46C3-9F7D-9B15BD45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600CA"/>
    <w:rPr>
      <w:rFonts w:ascii="PetersburgC" w:hAnsi="PetersburgC" w:hint="default"/>
      <w:b w:val="0"/>
      <w:bCs w:val="0"/>
      <w:i w:val="0"/>
      <w:iCs w:val="0"/>
      <w:color w:val="231F20"/>
      <w:sz w:val="20"/>
      <w:szCs w:val="20"/>
    </w:rPr>
  </w:style>
  <w:style w:type="character" w:styleId="a3">
    <w:name w:val="Hyperlink"/>
    <w:basedOn w:val="a0"/>
    <w:uiPriority w:val="99"/>
    <w:unhideWhenUsed/>
    <w:rsid w:val="00B40001"/>
    <w:rPr>
      <w:color w:val="0000FF"/>
      <w:u w:val="single"/>
    </w:rPr>
  </w:style>
  <w:style w:type="paragraph" w:styleId="a4">
    <w:name w:val="Normal (Web)"/>
    <w:aliases w:val="Обычный (Web),Обычный (веб)1"/>
    <w:basedOn w:val="a"/>
    <w:uiPriority w:val="99"/>
    <w:unhideWhenUsed/>
    <w:qFormat/>
    <w:rsid w:val="004341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A3133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31336"/>
  </w:style>
  <w:style w:type="paragraph" w:styleId="a7">
    <w:name w:val="footer"/>
    <w:basedOn w:val="a"/>
    <w:link w:val="a8"/>
    <w:uiPriority w:val="99"/>
    <w:unhideWhenUsed/>
    <w:rsid w:val="00A3133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31336"/>
  </w:style>
  <w:style w:type="paragraph" w:styleId="a9">
    <w:name w:val="Body Text Indent"/>
    <w:basedOn w:val="a"/>
    <w:link w:val="aa"/>
    <w:rsid w:val="00467346"/>
    <w:pPr>
      <w:spacing w:after="0" w:line="240" w:lineRule="auto"/>
      <w:ind w:right="-284" w:firstLine="720"/>
    </w:pPr>
    <w:rPr>
      <w:rFonts w:ascii="Times New Roman" w:eastAsia="Times New Roman" w:hAnsi="Times New Roman" w:cs="Times New Roman"/>
      <w:sz w:val="28"/>
      <w:szCs w:val="28"/>
      <w:lang w:eastAsia="ru-RU"/>
    </w:rPr>
  </w:style>
  <w:style w:type="character" w:customStyle="1" w:styleId="aa">
    <w:name w:val="Основний текст з відступом Знак"/>
    <w:basedOn w:val="a0"/>
    <w:link w:val="a9"/>
    <w:rsid w:val="00467346"/>
    <w:rPr>
      <w:rFonts w:ascii="Times New Roman" w:eastAsia="Times New Roman" w:hAnsi="Times New Roman" w:cs="Times New Roman"/>
      <w:sz w:val="28"/>
      <w:szCs w:val="28"/>
      <w:lang w:eastAsia="ru-RU"/>
    </w:rPr>
  </w:style>
  <w:style w:type="character" w:customStyle="1" w:styleId="fontstyle21">
    <w:name w:val="fontstyle21"/>
    <w:basedOn w:val="a0"/>
    <w:rsid w:val="009C2BAA"/>
    <w:rPr>
      <w:rFonts w:ascii="TimesNewRoman" w:hAnsi="TimesNewRoman" w:hint="default"/>
      <w:b/>
      <w:bCs/>
      <w:i w:val="0"/>
      <w:iCs w:val="0"/>
      <w:color w:val="000000"/>
      <w:sz w:val="14"/>
      <w:szCs w:val="14"/>
    </w:rPr>
  </w:style>
  <w:style w:type="paragraph" w:styleId="ab">
    <w:name w:val="Balloon Text"/>
    <w:basedOn w:val="a"/>
    <w:link w:val="ac"/>
    <w:uiPriority w:val="99"/>
    <w:semiHidden/>
    <w:unhideWhenUsed/>
    <w:rsid w:val="00CA2D65"/>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A2D65"/>
    <w:rPr>
      <w:rFonts w:ascii="Tahoma" w:hAnsi="Tahoma" w:cs="Tahoma"/>
      <w:sz w:val="16"/>
      <w:szCs w:val="16"/>
    </w:rPr>
  </w:style>
  <w:style w:type="character" w:styleId="ad">
    <w:name w:val="Strong"/>
    <w:qFormat/>
    <w:rsid w:val="00CA2D65"/>
    <w:rPr>
      <w:b/>
      <w:bCs/>
    </w:rPr>
  </w:style>
  <w:style w:type="paragraph" w:customStyle="1" w:styleId="BodyText21">
    <w:name w:val="Body Text 21"/>
    <w:basedOn w:val="a"/>
    <w:rsid w:val="00CA2D65"/>
    <w:pPr>
      <w:spacing w:after="0" w:line="240" w:lineRule="auto"/>
      <w:jc w:val="center"/>
    </w:pPr>
    <w:rPr>
      <w:rFonts w:ascii="Times New Roman" w:eastAsia="Times New Roman" w:hAnsi="Times New Roman" w:cs="Times New Roman"/>
      <w:b/>
      <w:sz w:val="28"/>
      <w:szCs w:val="20"/>
      <w:lang w:val="ru-RU" w:eastAsia="ru-RU"/>
    </w:rPr>
  </w:style>
  <w:style w:type="table" w:styleId="ae">
    <w:name w:val="Table Grid"/>
    <w:basedOn w:val="a1"/>
    <w:uiPriority w:val="39"/>
    <w:rsid w:val="00C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rsid w:val="003A1CD1"/>
    <w:pPr>
      <w:ind w:left="720"/>
      <w:contextualSpacing/>
    </w:pPr>
  </w:style>
  <w:style w:type="paragraph" w:customStyle="1" w:styleId="af1">
    <w:name w:val="Знак Знак Знак Знак Знак Знак Знак Знак Знак Знак Знак Знак"/>
    <w:basedOn w:val="a"/>
    <w:rsid w:val="008D75A9"/>
    <w:pPr>
      <w:spacing w:after="0" w:line="240" w:lineRule="auto"/>
    </w:pPr>
    <w:rPr>
      <w:rFonts w:ascii="Verdana" w:eastAsia="Times New Roman" w:hAnsi="Verdana" w:cs="Verdana"/>
      <w:sz w:val="20"/>
      <w:szCs w:val="20"/>
      <w:lang w:val="en-US"/>
    </w:rPr>
  </w:style>
  <w:style w:type="character" w:customStyle="1" w:styleId="tlid-translation">
    <w:name w:val="tlid-translation"/>
    <w:basedOn w:val="a0"/>
    <w:rsid w:val="00EA6633"/>
  </w:style>
  <w:style w:type="paragraph" w:customStyle="1" w:styleId="Pa13">
    <w:name w:val="Pa13"/>
    <w:basedOn w:val="a"/>
    <w:next w:val="a"/>
    <w:uiPriority w:val="99"/>
    <w:rsid w:val="005B5755"/>
    <w:pPr>
      <w:autoSpaceDE w:val="0"/>
      <w:autoSpaceDN w:val="0"/>
      <w:adjustRightInd w:val="0"/>
      <w:spacing w:after="0" w:line="211" w:lineRule="atLeast"/>
    </w:pPr>
    <w:rPr>
      <w:rFonts w:ascii="Times New Roman" w:hAnsi="Times New Roman" w:cs="Times New Roman"/>
      <w:sz w:val="24"/>
      <w:szCs w:val="24"/>
      <w:lang w:val="ru-RU"/>
    </w:rPr>
  </w:style>
  <w:style w:type="paragraph" w:customStyle="1" w:styleId="Default">
    <w:name w:val="Default"/>
    <w:rsid w:val="00154FD0"/>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Unresolved Mention"/>
    <w:basedOn w:val="a0"/>
    <w:uiPriority w:val="99"/>
    <w:semiHidden/>
    <w:unhideWhenUsed/>
    <w:rsid w:val="00D12DD3"/>
    <w:rPr>
      <w:color w:val="605E5C"/>
      <w:shd w:val="clear" w:color="auto" w:fill="E1DFDD"/>
    </w:rPr>
  </w:style>
  <w:style w:type="table" w:customStyle="1" w:styleId="TableGrid">
    <w:name w:val="TableGrid"/>
    <w:rsid w:val="00153B88"/>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af3">
    <w:name w:val="Рамка"/>
    <w:basedOn w:val="a"/>
    <w:uiPriority w:val="99"/>
    <w:rsid w:val="00B3006F"/>
    <w:pPr>
      <w:spacing w:after="0" w:line="240" w:lineRule="auto"/>
      <w:jc w:val="both"/>
    </w:pPr>
    <w:rPr>
      <w:rFonts w:ascii="Arial" w:eastAsia="Times New Roman" w:hAnsi="Arial" w:cs="Times New Roman"/>
      <w:i/>
      <w:sz w:val="16"/>
      <w:szCs w:val="20"/>
      <w:lang w:val="ru-RU" w:eastAsia="ru-RU"/>
    </w:rPr>
  </w:style>
  <w:style w:type="character" w:customStyle="1" w:styleId="af0">
    <w:name w:val="Абзац списку Знак"/>
    <w:link w:val="af"/>
    <w:uiPriority w:val="34"/>
    <w:rsid w:val="000F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33059">
      <w:bodyDiv w:val="1"/>
      <w:marLeft w:val="0"/>
      <w:marRight w:val="0"/>
      <w:marTop w:val="0"/>
      <w:marBottom w:val="0"/>
      <w:divBdr>
        <w:top w:val="none" w:sz="0" w:space="0" w:color="auto"/>
        <w:left w:val="none" w:sz="0" w:space="0" w:color="auto"/>
        <w:bottom w:val="none" w:sz="0" w:space="0" w:color="auto"/>
        <w:right w:val="none" w:sz="0" w:space="0" w:color="auto"/>
      </w:divBdr>
    </w:div>
    <w:div w:id="12186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B2A45-2E72-4B5C-A032-9690BAC9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4034</Words>
  <Characters>2300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Олександр Хадарцев</cp:lastModifiedBy>
  <cp:revision>4</cp:revision>
  <dcterms:created xsi:type="dcterms:W3CDTF">2022-05-06T10:24:00Z</dcterms:created>
  <dcterms:modified xsi:type="dcterms:W3CDTF">2022-05-06T10:47:00Z</dcterms:modified>
</cp:coreProperties>
</file>