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2E62" w14:textId="4F2C0E95" w:rsidR="00DD0F5B" w:rsidRPr="003E514A" w:rsidRDefault="005B37C7" w:rsidP="00E11B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A">
        <w:rPr>
          <w:rFonts w:ascii="Times New Roman" w:hAnsi="Times New Roman" w:cs="Times New Roman"/>
          <w:sz w:val="24"/>
          <w:szCs w:val="24"/>
        </w:rPr>
        <w:t>УДК</w:t>
      </w:r>
      <w:r w:rsidR="008A148E" w:rsidRPr="003E514A">
        <w:rPr>
          <w:rFonts w:ascii="Times New Roman" w:hAnsi="Times New Roman" w:cs="Times New Roman"/>
          <w:sz w:val="24"/>
          <w:szCs w:val="24"/>
        </w:rPr>
        <w:t xml:space="preserve"> </w:t>
      </w:r>
      <w:r w:rsidR="003935B7" w:rsidRPr="003E514A">
        <w:rPr>
          <w:rFonts w:ascii="Times New Roman" w:hAnsi="Times New Roman" w:cs="Times New Roman"/>
          <w:sz w:val="24"/>
          <w:szCs w:val="24"/>
        </w:rPr>
        <w:t>65.01</w:t>
      </w:r>
      <w:r w:rsidR="00131C1E">
        <w:rPr>
          <w:rFonts w:ascii="Times New Roman" w:hAnsi="Times New Roman" w:cs="Times New Roman"/>
          <w:sz w:val="24"/>
          <w:szCs w:val="24"/>
        </w:rPr>
        <w:t>2</w:t>
      </w:r>
      <w:r w:rsidR="003935B7" w:rsidRPr="003E514A">
        <w:rPr>
          <w:rFonts w:ascii="Times New Roman" w:hAnsi="Times New Roman" w:cs="Times New Roman"/>
          <w:sz w:val="24"/>
          <w:szCs w:val="24"/>
        </w:rPr>
        <w:t>.</w:t>
      </w:r>
      <w:r w:rsidR="00131C1E">
        <w:rPr>
          <w:rFonts w:ascii="Times New Roman" w:hAnsi="Times New Roman" w:cs="Times New Roman"/>
          <w:sz w:val="24"/>
          <w:szCs w:val="24"/>
        </w:rPr>
        <w:t>2</w:t>
      </w:r>
      <w:r w:rsidR="003935B7" w:rsidRPr="003E514A">
        <w:rPr>
          <w:rFonts w:ascii="Times New Roman" w:hAnsi="Times New Roman" w:cs="Times New Roman"/>
          <w:sz w:val="24"/>
          <w:szCs w:val="24"/>
        </w:rPr>
        <w:t>2</w:t>
      </w:r>
    </w:p>
    <w:p w14:paraId="7EC39DE6" w14:textId="77777777" w:rsidR="003E514A" w:rsidRPr="003E514A" w:rsidRDefault="003E514A" w:rsidP="00E11B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51331" w14:textId="77777777" w:rsidR="00D440D7" w:rsidRPr="003E514A" w:rsidRDefault="00D440D7" w:rsidP="00D440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</w:t>
      </w:r>
      <w:r w:rsidRPr="003E5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E514A">
        <w:rPr>
          <w:rFonts w:ascii="Times New Roman" w:hAnsi="Times New Roman" w:cs="Times New Roman"/>
          <w:sz w:val="24"/>
          <w:szCs w:val="24"/>
        </w:rPr>
        <w:t>.В. студент-магістр</w:t>
      </w:r>
    </w:p>
    <w:p w14:paraId="7622B7AA" w14:textId="42394088" w:rsidR="00E11B98" w:rsidRPr="003E514A" w:rsidRDefault="00E11B98" w:rsidP="00E11B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14A">
        <w:rPr>
          <w:rFonts w:ascii="Times New Roman" w:hAnsi="Times New Roman" w:cs="Times New Roman"/>
          <w:sz w:val="24"/>
          <w:szCs w:val="24"/>
        </w:rPr>
        <w:t>Хадарцев О.В., к.е.н., доцент</w:t>
      </w:r>
      <w:r w:rsidR="00D440D7">
        <w:rPr>
          <w:rFonts w:ascii="Times New Roman" w:hAnsi="Times New Roman" w:cs="Times New Roman"/>
          <w:sz w:val="24"/>
          <w:szCs w:val="24"/>
        </w:rPr>
        <w:t xml:space="preserve"> – науковий керівник</w:t>
      </w:r>
    </w:p>
    <w:p w14:paraId="2E50A86F" w14:textId="75EAC485" w:rsidR="00D517AC" w:rsidRDefault="003935B7" w:rsidP="00E11B9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514A">
        <w:rPr>
          <w:rFonts w:ascii="Times New Roman" w:hAnsi="Times New Roman" w:cs="Times New Roman"/>
          <w:i/>
          <w:iCs/>
          <w:sz w:val="24"/>
          <w:szCs w:val="24"/>
        </w:rPr>
        <w:t>Національний університет «Полтавська політехніка імені Юрія Кондратюка»</w:t>
      </w:r>
    </w:p>
    <w:p w14:paraId="42358A87" w14:textId="2BF9EEF3" w:rsidR="003935B7" w:rsidRPr="003E514A" w:rsidRDefault="00E11B98" w:rsidP="00E11B9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514A">
        <w:rPr>
          <w:rFonts w:ascii="Times New Roman" w:hAnsi="Times New Roman" w:cs="Times New Roman"/>
          <w:i/>
          <w:iCs/>
          <w:sz w:val="24"/>
          <w:szCs w:val="24"/>
        </w:rPr>
        <w:t>(м. Полтава, Україна)</w:t>
      </w:r>
    </w:p>
    <w:p w14:paraId="3191A161" w14:textId="77777777" w:rsidR="003935B7" w:rsidRPr="003E514A" w:rsidRDefault="003935B7" w:rsidP="003E51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D4A94" w14:textId="77777777" w:rsidR="00063700" w:rsidRDefault="00D440D7" w:rsidP="00E11B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440D7">
        <w:rPr>
          <w:rFonts w:ascii="Times New Roman" w:hAnsi="Times New Roman" w:cs="Times New Roman"/>
          <w:b/>
          <w:bCs/>
          <w:caps/>
          <w:sz w:val="24"/>
          <w:szCs w:val="24"/>
        </w:rPr>
        <w:t>діагностика Ризикостійк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о</w:t>
      </w:r>
      <w:r w:rsidRPr="00D440D7">
        <w:rPr>
          <w:rFonts w:ascii="Times New Roman" w:hAnsi="Times New Roman" w:cs="Times New Roman"/>
          <w:b/>
          <w:bCs/>
          <w:caps/>
          <w:sz w:val="24"/>
          <w:szCs w:val="24"/>
        </w:rPr>
        <w:t>ст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і</w:t>
      </w:r>
      <w:r w:rsidRPr="00D440D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підприємства: </w:t>
      </w:r>
    </w:p>
    <w:p w14:paraId="767F7128" w14:textId="2B92B317" w:rsidR="00163BAF" w:rsidRPr="003E514A" w:rsidRDefault="00D440D7" w:rsidP="00E11B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440D7">
        <w:rPr>
          <w:rFonts w:ascii="Times New Roman" w:hAnsi="Times New Roman" w:cs="Times New Roman"/>
          <w:b/>
          <w:bCs/>
          <w:caps/>
          <w:sz w:val="24"/>
          <w:szCs w:val="24"/>
        </w:rPr>
        <w:t>індикатори визначення</w:t>
      </w:r>
    </w:p>
    <w:p w14:paraId="71014090" w14:textId="77777777" w:rsidR="005B37C7" w:rsidRPr="003E514A" w:rsidRDefault="005B37C7" w:rsidP="00E11B98">
      <w:pPr>
        <w:widowControl w:val="0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A773031" w14:textId="763ED300" w:rsidR="00407F63" w:rsidRPr="00407F63" w:rsidRDefault="00D440D7" w:rsidP="0040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0D7">
        <w:rPr>
          <w:rFonts w:ascii="Times New Roman" w:hAnsi="Times New Roman" w:cs="Times New Roman"/>
          <w:sz w:val="24"/>
          <w:szCs w:val="24"/>
        </w:rPr>
        <w:t>Сучасне бізнес-середовище характеризується такими поняттями як нестабільність та невизначеність.</w:t>
      </w:r>
      <w:r w:rsidR="00B451AA">
        <w:rPr>
          <w:rFonts w:ascii="Times New Roman" w:hAnsi="Times New Roman" w:cs="Times New Roman"/>
          <w:sz w:val="24"/>
          <w:szCs w:val="24"/>
        </w:rPr>
        <w:t xml:space="preserve"> Особливо це проявляється сьогодні, коли військовий стан впливає на </w:t>
      </w:r>
      <w:r w:rsidRPr="00D440D7">
        <w:rPr>
          <w:rFonts w:ascii="Times New Roman" w:hAnsi="Times New Roman" w:cs="Times New Roman"/>
          <w:sz w:val="24"/>
          <w:szCs w:val="24"/>
        </w:rPr>
        <w:t>дестабілізаці</w:t>
      </w:r>
      <w:r w:rsidR="00B451AA">
        <w:rPr>
          <w:rFonts w:ascii="Times New Roman" w:hAnsi="Times New Roman" w:cs="Times New Roman"/>
          <w:sz w:val="24"/>
          <w:szCs w:val="24"/>
        </w:rPr>
        <w:t>ю</w:t>
      </w:r>
      <w:r w:rsidRPr="00D440D7">
        <w:rPr>
          <w:rFonts w:ascii="Times New Roman" w:hAnsi="Times New Roman" w:cs="Times New Roman"/>
          <w:sz w:val="24"/>
          <w:szCs w:val="24"/>
        </w:rPr>
        <w:t xml:space="preserve"> бізнесу</w:t>
      </w:r>
      <w:r w:rsidR="00B451AA">
        <w:rPr>
          <w:rFonts w:ascii="Times New Roman" w:hAnsi="Times New Roman" w:cs="Times New Roman"/>
          <w:sz w:val="24"/>
          <w:szCs w:val="24"/>
        </w:rPr>
        <w:t xml:space="preserve">, що приводить </w:t>
      </w:r>
      <w:r w:rsidRPr="00D440D7">
        <w:rPr>
          <w:rFonts w:ascii="Times New Roman" w:hAnsi="Times New Roman" w:cs="Times New Roman"/>
          <w:sz w:val="24"/>
          <w:szCs w:val="24"/>
        </w:rPr>
        <w:t xml:space="preserve">до того, що компанії стали акцентувати увагу на розвитку здатності оперативно виявляти і використовувати нові можливості. В умовах нинішньої економічної невизначеності, викликаної коливаннями цін на </w:t>
      </w:r>
      <w:r w:rsidR="00B451AA">
        <w:rPr>
          <w:rFonts w:ascii="Times New Roman" w:hAnsi="Times New Roman" w:cs="Times New Roman"/>
          <w:sz w:val="24"/>
          <w:szCs w:val="24"/>
        </w:rPr>
        <w:t>енергоносії</w:t>
      </w:r>
      <w:r w:rsidRPr="00D440D7">
        <w:rPr>
          <w:rFonts w:ascii="Times New Roman" w:hAnsi="Times New Roman" w:cs="Times New Roman"/>
          <w:sz w:val="24"/>
          <w:szCs w:val="24"/>
        </w:rPr>
        <w:t xml:space="preserve">, нестійким фондовим ринком, уповільненими темпами зростання національних економік, переважна частина топ-менеджерів провідних корпорацій бачать більше ризиків, ніж можливостей для бізнесу. </w:t>
      </w:r>
      <w:r w:rsidR="00407F63" w:rsidRPr="00407F63">
        <w:rPr>
          <w:rFonts w:ascii="Times New Roman" w:hAnsi="Times New Roman" w:cs="Times New Roman"/>
          <w:sz w:val="24"/>
          <w:szCs w:val="24"/>
        </w:rPr>
        <w:t>Слід відмітити, що у науковій і методичній літературі не існує однозначного розуміння щодо критеріїв та індикаторів ризикостійкості. Більшість дослідників відзначає, що ризикостійкість хоч і є системною характеристикою що кількісно визначає його взаємодії та можливості функціонування, проте її оцінка є моментною і відображає конкретну економічну ситуацію, що склалася в певний момент часу під впливом об’єктивних і суб’єктивних факторів [</w:t>
      </w:r>
      <w:r w:rsidR="00862456">
        <w:rPr>
          <w:rFonts w:ascii="Times New Roman" w:hAnsi="Times New Roman" w:cs="Times New Roman"/>
          <w:sz w:val="24"/>
          <w:szCs w:val="24"/>
        </w:rPr>
        <w:t>1</w:t>
      </w:r>
      <w:r w:rsidR="00407F63" w:rsidRPr="00407F63">
        <w:rPr>
          <w:rFonts w:ascii="Times New Roman" w:hAnsi="Times New Roman" w:cs="Times New Roman"/>
          <w:sz w:val="24"/>
          <w:szCs w:val="24"/>
        </w:rPr>
        <w:t>]. Відповідно, для забезпечення подальшого розвитку й необхідно здійснювати ефективне управління взаємодією із факторами внутрішнього і зовнішнього середовища, для того щоб забезпечити дотримання належного певного рівня ризикостійкості. Також слід зазначити, що фахівці у сфері дослідження методології оцінювання ризикостійкості відзначають двобічну роль даної категорії, що відображено у багатьох наукових працях. Така двобічність розкривається наступним чином [2]:</w:t>
      </w:r>
    </w:p>
    <w:p w14:paraId="7980AF46" w14:textId="77777777" w:rsidR="00407F63" w:rsidRPr="00407F63" w:rsidRDefault="00407F63" w:rsidP="0040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63">
        <w:rPr>
          <w:rFonts w:ascii="Times New Roman" w:hAnsi="Times New Roman" w:cs="Times New Roman"/>
          <w:sz w:val="24"/>
          <w:szCs w:val="24"/>
        </w:rPr>
        <w:t>1) створення умов для цілеспрямованого функціонування та розвитку, вплив на підсумкові (або як вказують дослідники інтегральні) результати діяльності;</w:t>
      </w:r>
    </w:p>
    <w:p w14:paraId="58D10AB6" w14:textId="77777777" w:rsidR="00407F63" w:rsidRPr="00407F63" w:rsidRDefault="00407F63" w:rsidP="0040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63">
        <w:rPr>
          <w:rFonts w:ascii="Times New Roman" w:hAnsi="Times New Roman" w:cs="Times New Roman"/>
          <w:sz w:val="24"/>
          <w:szCs w:val="24"/>
        </w:rPr>
        <w:t>2) комплекс взаємодії з іншими організаційно-економічними системами (як зазначають дослідники – системами вищого рівня) які можуть сформувати нову дієву групу внутрішніх та зовнішніх факторів ризику.</w:t>
      </w:r>
    </w:p>
    <w:p w14:paraId="2570EAB1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У залежності від реакції підприємства на зміни науковці виділяють такі види стійкості:</w:t>
      </w:r>
    </w:p>
    <w:p w14:paraId="77E845AA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- статична економічна стійкість – здатність підтримувати показники діяльності та параметри функціонування в умовах впливу деструктивних факторів;</w:t>
      </w:r>
    </w:p>
    <w:p w14:paraId="24C581E5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- динамічна економічна стійкість – здатність утримувати динамічну рівновагу, або коли відхилення у функціонуванні знаходяться у допустимих межах;</w:t>
      </w:r>
    </w:p>
    <w:p w14:paraId="481500D6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- сталий розвиток – здатність підтримувати оптимальний напрям розвитку підприємства при постійних зовнішніх та внутрішніх впливах.</w:t>
      </w:r>
    </w:p>
    <w:p w14:paraId="30CA2212" w14:textId="71D2D1E0" w:rsidR="007F65A5" w:rsidRPr="005D601F" w:rsidRDefault="005D601F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F65A5" w:rsidRPr="005D601F">
        <w:rPr>
          <w:rFonts w:ascii="Times New Roman" w:hAnsi="Times New Roman" w:cs="Times New Roman"/>
          <w:sz w:val="24"/>
          <w:szCs w:val="24"/>
        </w:rPr>
        <w:t>акий підхід теж передбачає виділення певних зон або рівнів ризикостійкості. Відповідно до знаходження підприємства у даних зонах, визначається стратегія управління ризикостійкістю яка може бути спрямована: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5A5" w:rsidRPr="005D601F">
        <w:rPr>
          <w:rFonts w:ascii="Times New Roman" w:hAnsi="Times New Roman" w:cs="Times New Roman"/>
          <w:sz w:val="24"/>
          <w:szCs w:val="24"/>
        </w:rPr>
        <w:t>на подолання кризи чи вихід із нестійкого становища;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5A5" w:rsidRPr="005D601F">
        <w:rPr>
          <w:rFonts w:ascii="Times New Roman" w:hAnsi="Times New Roman" w:cs="Times New Roman"/>
          <w:sz w:val="24"/>
          <w:szCs w:val="24"/>
        </w:rPr>
        <w:t>впровадження інновацій та забезпечення розвитку підприємства;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5A5" w:rsidRPr="005D601F">
        <w:rPr>
          <w:rFonts w:ascii="Times New Roman" w:hAnsi="Times New Roman" w:cs="Times New Roman"/>
          <w:sz w:val="24"/>
          <w:szCs w:val="24"/>
        </w:rPr>
        <w:t>адаптивний розвиток підприємства чи впровадження непринципових змін у його діяльності.</w:t>
      </w:r>
      <w:r>
        <w:rPr>
          <w:rFonts w:ascii="Times New Roman" w:hAnsi="Times New Roman" w:cs="Times New Roman"/>
          <w:sz w:val="24"/>
          <w:szCs w:val="24"/>
        </w:rPr>
        <w:t xml:space="preserve"> Відповідно</w:t>
      </w:r>
      <w:r w:rsidR="007F65A5" w:rsidRPr="005D601F">
        <w:rPr>
          <w:rFonts w:ascii="Times New Roman" w:hAnsi="Times New Roman" w:cs="Times New Roman"/>
          <w:sz w:val="24"/>
          <w:szCs w:val="24"/>
        </w:rPr>
        <w:t xml:space="preserve"> кожному виду економічної стійкості приводять відповідні джерела приросту доданої вартості, як-то оптимізація витрат, збільшення обсягів виробництва, інвестиції в капітал, та інше. Тому пропонується у якості індикатора використання показника EVA – економічної доданої вартості, що характеризує результативність фінансово-інвестиційної та інноваційної діяльності підприємства.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5A5" w:rsidRPr="005D601F">
        <w:rPr>
          <w:rFonts w:ascii="Times New Roman" w:hAnsi="Times New Roman" w:cs="Times New Roman"/>
          <w:sz w:val="24"/>
          <w:szCs w:val="24"/>
        </w:rPr>
        <w:t xml:space="preserve">Економічна додана вартість або EVA (англ. еconomic value added) це один з методів оцінки економічної прибутку. Вперше термін EVA був використаний в 1989 році П. Фінеганом, були наведені приклади успішних американських компаній, що </w:t>
      </w:r>
      <w:r w:rsidR="007F65A5" w:rsidRPr="005D601F">
        <w:rPr>
          <w:rFonts w:ascii="Times New Roman" w:hAnsi="Times New Roman" w:cs="Times New Roman"/>
          <w:sz w:val="24"/>
          <w:szCs w:val="24"/>
        </w:rPr>
        <w:lastRenderedPageBreak/>
        <w:t>використовують EVA як критерій виміру ефективності діяльності. Після цього концепція EVA викликала велику зацікавленість бізнес-спільноти, включаючи такі компанії, як The Coca-Cola Company, Eli Lilly and Company, Bausch&amp;Lomb, Matsushita, Briggs&amp;Stratton та ряду інших. EVA – це чистий операційний прибуток після сплати податків за вирахуванням витрат на капітал:</w:t>
      </w:r>
    </w:p>
    <w:p w14:paraId="5589DF55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49B512" w14:textId="45F28B59" w:rsidR="007F65A5" w:rsidRPr="005D601F" w:rsidRDefault="007F65A5" w:rsidP="005D601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 xml:space="preserve">EVA = NOPAT – WACC </w:t>
      </w:r>
      <w:r w:rsidRPr="005D601F">
        <w:rPr>
          <w:rFonts w:ascii="Cambria Math" w:hAnsi="Cambria Math" w:cs="Cambria Math"/>
          <w:sz w:val="24"/>
          <w:szCs w:val="24"/>
        </w:rPr>
        <w:t>⋅</w:t>
      </w:r>
      <w:r w:rsidRPr="005D601F">
        <w:rPr>
          <w:rFonts w:ascii="Times New Roman" w:hAnsi="Times New Roman" w:cs="Times New Roman"/>
          <w:sz w:val="24"/>
          <w:szCs w:val="24"/>
        </w:rPr>
        <w:t xml:space="preserve"> IC, </w:t>
      </w:r>
      <w:r w:rsidRPr="005D601F">
        <w:rPr>
          <w:rFonts w:ascii="Times New Roman" w:hAnsi="Times New Roman" w:cs="Times New Roman"/>
          <w:sz w:val="24"/>
          <w:szCs w:val="24"/>
        </w:rPr>
        <w:tab/>
      </w:r>
      <w:r w:rsidRPr="005D601F">
        <w:rPr>
          <w:rFonts w:ascii="Times New Roman" w:hAnsi="Times New Roman" w:cs="Times New Roman"/>
          <w:sz w:val="24"/>
          <w:szCs w:val="24"/>
        </w:rPr>
        <w:tab/>
      </w:r>
      <w:r w:rsidRPr="005D601F">
        <w:rPr>
          <w:rFonts w:ascii="Times New Roman" w:hAnsi="Times New Roman" w:cs="Times New Roman"/>
          <w:sz w:val="24"/>
          <w:szCs w:val="24"/>
        </w:rPr>
        <w:tab/>
      </w:r>
      <w:r w:rsidRPr="005D601F">
        <w:rPr>
          <w:rFonts w:ascii="Times New Roman" w:hAnsi="Times New Roman" w:cs="Times New Roman"/>
          <w:sz w:val="24"/>
          <w:szCs w:val="24"/>
        </w:rPr>
        <w:tab/>
        <w:t>(1)</w:t>
      </w:r>
    </w:p>
    <w:p w14:paraId="17B42A50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8106F" w14:textId="0F8430AD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де:</w:t>
      </w:r>
      <w:r w:rsidR="005D601F">
        <w:rPr>
          <w:rFonts w:ascii="Times New Roman" w:hAnsi="Times New Roman" w:cs="Times New Roman"/>
          <w:sz w:val="24"/>
          <w:szCs w:val="24"/>
        </w:rPr>
        <w:tab/>
      </w:r>
      <w:r w:rsidRPr="005D601F">
        <w:rPr>
          <w:rFonts w:ascii="Times New Roman" w:hAnsi="Times New Roman" w:cs="Times New Roman"/>
          <w:sz w:val="24"/>
          <w:szCs w:val="24"/>
        </w:rPr>
        <w:t>NOPAT – чистий операційний прибуток після сплати податків;</w:t>
      </w:r>
    </w:p>
    <w:p w14:paraId="172B5635" w14:textId="77777777" w:rsidR="007F65A5" w:rsidRPr="005D601F" w:rsidRDefault="007F65A5" w:rsidP="005D601F">
      <w:pPr>
        <w:widowControl w:val="0"/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WACC – середньозважена вартість капіталу;</w:t>
      </w:r>
    </w:p>
    <w:p w14:paraId="7496E7AC" w14:textId="77777777" w:rsidR="007F65A5" w:rsidRPr="005D601F" w:rsidRDefault="007F65A5" w:rsidP="005D601F">
      <w:pPr>
        <w:widowControl w:val="0"/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IC – інвестований капітал.</w:t>
      </w:r>
    </w:p>
    <w:p w14:paraId="5C42A912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5CED7C" w14:textId="59E9B0B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Таблиця 1 – Стан</w:t>
      </w:r>
      <w:r w:rsidR="00862456">
        <w:rPr>
          <w:rFonts w:ascii="Times New Roman" w:hAnsi="Times New Roman" w:cs="Times New Roman"/>
          <w:sz w:val="24"/>
          <w:szCs w:val="24"/>
        </w:rPr>
        <w:t>и</w:t>
      </w:r>
      <w:r w:rsidRPr="005D601F">
        <w:rPr>
          <w:rFonts w:ascii="Times New Roman" w:hAnsi="Times New Roman" w:cs="Times New Roman"/>
          <w:sz w:val="24"/>
          <w:szCs w:val="24"/>
        </w:rPr>
        <w:t xml:space="preserve"> підприємства за співвідношенням показників рівня ризикостійкості.</w:t>
      </w:r>
    </w:p>
    <w:tbl>
      <w:tblPr>
        <w:tblStyle w:val="ae"/>
        <w:tblW w:w="9209" w:type="dxa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1559"/>
        <w:gridCol w:w="1559"/>
      </w:tblGrid>
      <w:tr w:rsidR="007F65A5" w:rsidRPr="005D601F" w14:paraId="5C047006" w14:textId="77777777" w:rsidTr="005D601F">
        <w:trPr>
          <w:trHeight w:val="426"/>
          <w:jc w:val="center"/>
        </w:trPr>
        <w:tc>
          <w:tcPr>
            <w:tcW w:w="283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0F6EA2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Значення показника економічної доданої вартості</w:t>
            </w:r>
          </w:p>
        </w:tc>
        <w:tc>
          <w:tcPr>
            <w:tcW w:w="6379" w:type="dxa"/>
            <w:gridSpan w:val="4"/>
            <w:tcMar>
              <w:left w:w="28" w:type="dxa"/>
              <w:right w:w="28" w:type="dxa"/>
            </w:tcMar>
            <w:vAlign w:val="center"/>
          </w:tcPr>
          <w:p w14:paraId="77142CB7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ризикостійкості підприємства </w:t>
            </w:r>
          </w:p>
        </w:tc>
      </w:tr>
      <w:tr w:rsidR="007F65A5" w:rsidRPr="005D601F" w14:paraId="7A924360" w14:textId="77777777" w:rsidTr="005D601F">
        <w:trPr>
          <w:trHeight w:val="20"/>
          <w:jc w:val="center"/>
        </w:trPr>
        <w:tc>
          <w:tcPr>
            <w:tcW w:w="2830" w:type="dxa"/>
            <w:vMerge/>
            <w:tcMar>
              <w:left w:w="28" w:type="dxa"/>
              <w:right w:w="28" w:type="dxa"/>
            </w:tcMar>
            <w:vAlign w:val="center"/>
          </w:tcPr>
          <w:p w14:paraId="314A86A6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31C5A6F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Абсолютний (76-100%)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41C61CC8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Відносний (51-75%)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84AF0EE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Критичний (26-50%)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E09D738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Кризовий (0-25%) </w:t>
            </w:r>
          </w:p>
        </w:tc>
      </w:tr>
      <w:tr w:rsidR="007F65A5" w:rsidRPr="005D601F" w14:paraId="74095841" w14:textId="77777777" w:rsidTr="005D601F">
        <w:trPr>
          <w:trHeight w:val="20"/>
          <w:jc w:val="center"/>
        </w:trPr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582FB761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EVA &gt; 0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99AE7AB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06B66663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E82A096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4574BF3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</w:p>
        </w:tc>
      </w:tr>
      <w:tr w:rsidR="007F65A5" w:rsidRPr="005D601F" w14:paraId="2950607F" w14:textId="77777777" w:rsidTr="005D601F">
        <w:trPr>
          <w:trHeight w:val="20"/>
          <w:jc w:val="center"/>
        </w:trPr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258BB18C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EVA = 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B270C1E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2408C6F2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FC5090D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4F94171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</w:p>
        </w:tc>
      </w:tr>
      <w:tr w:rsidR="007F65A5" w:rsidRPr="005D601F" w14:paraId="09143065" w14:textId="77777777" w:rsidTr="005D601F">
        <w:trPr>
          <w:trHeight w:val="20"/>
          <w:jc w:val="center"/>
        </w:trPr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0B92B6D1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EVA &lt; 0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67C18C4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31CECA75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539A745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FD2E7D1" w14:textId="77777777" w:rsidR="007F65A5" w:rsidRPr="005D601F" w:rsidRDefault="007F65A5" w:rsidP="007B28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</w:p>
        </w:tc>
      </w:tr>
    </w:tbl>
    <w:p w14:paraId="669142B8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B9773D" w14:textId="752D53EA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Відповідно до показника EVA, фахівцями пропонується наступний розподіл зон ризику [</w:t>
      </w:r>
      <w:r w:rsidR="00862456">
        <w:rPr>
          <w:rFonts w:ascii="Times New Roman" w:hAnsi="Times New Roman" w:cs="Times New Roman"/>
          <w:sz w:val="24"/>
          <w:szCs w:val="24"/>
        </w:rPr>
        <w:t>1</w:t>
      </w:r>
      <w:r w:rsidRPr="005D601F">
        <w:rPr>
          <w:rFonts w:ascii="Times New Roman" w:hAnsi="Times New Roman" w:cs="Times New Roman"/>
          <w:sz w:val="24"/>
          <w:szCs w:val="24"/>
        </w:rPr>
        <w:t>; 3]:</w:t>
      </w:r>
    </w:p>
    <w:p w14:paraId="7F205CA9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А – зона нормального економічного стану підприємства, характеризується вищим від середнього рівня ризикостійкості та невід’ємними значеннями EVA;</w:t>
      </w:r>
    </w:p>
    <w:p w14:paraId="178FC931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B – зона допустимого ризику, включає середні показники ризикостійкості при невід’ємному значенні EVA, а також від’ємний показник EVA при абсолютній ризикостійкості;</w:t>
      </w:r>
    </w:p>
    <w:p w14:paraId="022611C7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C – зона незадовільного економічного стану, характеризується середнім рівнем ризикостійкості, але недодатнім значенням EVA, або низькою (кризовою) ризикостійкістю при додатному показнику EVA;</w:t>
      </w:r>
    </w:p>
    <w:p w14:paraId="0984C2E2" w14:textId="77777777" w:rsidR="007F65A5" w:rsidRPr="005D601F" w:rsidRDefault="007F65A5" w:rsidP="005D60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D – зона критичного ризику, нижчі від середнього рівня ризикостійкості при від’ємних значеннях EVA.</w:t>
      </w:r>
    </w:p>
    <w:p w14:paraId="4E48EA9B" w14:textId="4D5E884C" w:rsidR="00D46775" w:rsidRPr="005D601F" w:rsidRDefault="007F65A5" w:rsidP="007F6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01F">
        <w:rPr>
          <w:rFonts w:ascii="Times New Roman" w:hAnsi="Times New Roman" w:cs="Times New Roman"/>
          <w:sz w:val="24"/>
          <w:szCs w:val="24"/>
        </w:rPr>
        <w:t>Таким чином, представлені критерії та індикатори дозволяють сформувати дієвий інструмент для адекватного оцінювання і управління ризикостійкістю підприємства. Також застосування критеріїв оцінки ризиків щодо ключових бізнес-процесів дозволяє формувати стратегічні передумови ризикостійкості у прийнятті рішень щодо розвитку підприємства в умовах нечіткої невизначеності середовища господарювання. Проте така методологія не є простою і вимагає наявності певного експертного досвіду щодо оцінювання зовнішнього та внутрішнього середовища підприємства, а також навиків математичної інтерпретації економічних процесів, їх прив’язки до конкретних показників господарювання.</w:t>
      </w:r>
    </w:p>
    <w:p w14:paraId="267195C9" w14:textId="77777777" w:rsidR="007F65A5" w:rsidRPr="007F65A5" w:rsidRDefault="007F65A5" w:rsidP="007F6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44402F" w14:textId="5938FD5C" w:rsidR="00D46775" w:rsidRPr="003E514A" w:rsidRDefault="003E514A" w:rsidP="003E514A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</w:rPr>
      </w:pPr>
      <w:r w:rsidRPr="003E514A">
        <w:rPr>
          <w:b/>
          <w:bCs/>
        </w:rPr>
        <w:t>Список використаних джерел</w:t>
      </w:r>
    </w:p>
    <w:p w14:paraId="1136413C" w14:textId="337F4AAC" w:rsidR="00A5375F" w:rsidRDefault="00862456" w:rsidP="00E11B98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862456">
        <w:t>Ілляшенко С.М. Управління інноваційним розвитком промислових підприємств: монографія / С.М. Ілляшенко, О.А. Біловодська. – Суми: Університетська книга, 2010. 281 с.</w:t>
      </w:r>
    </w:p>
    <w:p w14:paraId="3DEE0168" w14:textId="77352E88" w:rsidR="00A5375F" w:rsidRPr="003E514A" w:rsidRDefault="00862456" w:rsidP="00E11B98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862456">
        <w:t xml:space="preserve">Захаркін О.О. Оцінка ризикостійкості підприємства при управлінні його інноваційним розвитком. </w:t>
      </w:r>
      <w:r w:rsidRPr="00862456">
        <w:rPr>
          <w:i/>
          <w:iCs/>
        </w:rPr>
        <w:t>Економічний простір</w:t>
      </w:r>
      <w:r w:rsidRPr="00862456">
        <w:t>. 2015. № 98. С. 165-176.</w:t>
      </w:r>
    </w:p>
    <w:p w14:paraId="5E6E8C5A" w14:textId="6E00DAF3" w:rsidR="002945A3" w:rsidRPr="003E514A" w:rsidRDefault="00862456" w:rsidP="00E11B98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862456">
        <w:t xml:space="preserve">Кравченко О.С. Ризикостійкість як передумова ефективного розвитку підприємства: індикатори визначення та методика діагностики. </w:t>
      </w:r>
      <w:r w:rsidRPr="00BA335F">
        <w:rPr>
          <w:i/>
          <w:iCs/>
        </w:rPr>
        <w:t>Вісник ДонНУЕТ</w:t>
      </w:r>
      <w:r w:rsidRPr="00862456">
        <w:t>. 2013. №4 (60). С. 81-90.</w:t>
      </w:r>
    </w:p>
    <w:sectPr w:rsidR="002945A3" w:rsidRPr="003E514A" w:rsidSect="00E11B9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57F4" w14:textId="77777777" w:rsidR="007E7476" w:rsidRDefault="007E7476" w:rsidP="00A31336">
      <w:pPr>
        <w:spacing w:after="0" w:line="240" w:lineRule="auto"/>
      </w:pPr>
      <w:r>
        <w:separator/>
      </w:r>
    </w:p>
  </w:endnote>
  <w:endnote w:type="continuationSeparator" w:id="0">
    <w:p w14:paraId="06901FE6" w14:textId="77777777" w:rsidR="007E7476" w:rsidRDefault="007E7476" w:rsidP="00A3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484D" w14:textId="77777777" w:rsidR="007E7476" w:rsidRDefault="007E7476" w:rsidP="00A31336">
      <w:pPr>
        <w:spacing w:after="0" w:line="240" w:lineRule="auto"/>
      </w:pPr>
      <w:r>
        <w:separator/>
      </w:r>
    </w:p>
  </w:footnote>
  <w:footnote w:type="continuationSeparator" w:id="0">
    <w:p w14:paraId="72EBBB75" w14:textId="77777777" w:rsidR="007E7476" w:rsidRDefault="007E7476" w:rsidP="00A31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88E"/>
    <w:multiLevelType w:val="hybridMultilevel"/>
    <w:tmpl w:val="56B0F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0D2"/>
    <w:multiLevelType w:val="hybridMultilevel"/>
    <w:tmpl w:val="26B41E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20751D"/>
    <w:multiLevelType w:val="hybridMultilevel"/>
    <w:tmpl w:val="5A26FB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5506"/>
    <w:multiLevelType w:val="hybridMultilevel"/>
    <w:tmpl w:val="157C8A2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83028"/>
    <w:multiLevelType w:val="hybridMultilevel"/>
    <w:tmpl w:val="5B68031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7F1719"/>
    <w:multiLevelType w:val="hybridMultilevel"/>
    <w:tmpl w:val="9586A36A"/>
    <w:lvl w:ilvl="0" w:tplc="68C02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352FD5"/>
    <w:multiLevelType w:val="hybridMultilevel"/>
    <w:tmpl w:val="6AEC4ECC"/>
    <w:lvl w:ilvl="0" w:tplc="68C02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4B7750"/>
    <w:multiLevelType w:val="hybridMultilevel"/>
    <w:tmpl w:val="BC4AD5C0"/>
    <w:lvl w:ilvl="0" w:tplc="7C30A70A">
      <w:start w:val="1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350EB7"/>
    <w:multiLevelType w:val="hybridMultilevel"/>
    <w:tmpl w:val="7674BB8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BF4F88"/>
    <w:multiLevelType w:val="hybridMultilevel"/>
    <w:tmpl w:val="741CB158"/>
    <w:lvl w:ilvl="0" w:tplc="D2F803B4">
      <w:start w:val="2"/>
      <w:numFmt w:val="bullet"/>
      <w:lvlText w:val="-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0425B4E"/>
    <w:multiLevelType w:val="hybridMultilevel"/>
    <w:tmpl w:val="B4222992"/>
    <w:lvl w:ilvl="0" w:tplc="3914269C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EB1044"/>
    <w:multiLevelType w:val="hybridMultilevel"/>
    <w:tmpl w:val="5A307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BB7110"/>
    <w:multiLevelType w:val="hybridMultilevel"/>
    <w:tmpl w:val="637C0DAE"/>
    <w:lvl w:ilvl="0" w:tplc="C2CCA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9626E"/>
    <w:multiLevelType w:val="hybridMultilevel"/>
    <w:tmpl w:val="549C615E"/>
    <w:lvl w:ilvl="0" w:tplc="0ED20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B61FC9"/>
    <w:multiLevelType w:val="hybridMultilevel"/>
    <w:tmpl w:val="020CEA34"/>
    <w:lvl w:ilvl="0" w:tplc="4554F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D752BD"/>
    <w:multiLevelType w:val="hybridMultilevel"/>
    <w:tmpl w:val="E73C868C"/>
    <w:lvl w:ilvl="0" w:tplc="6D78124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A1557A9"/>
    <w:multiLevelType w:val="hybridMultilevel"/>
    <w:tmpl w:val="7A3CC42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362EC"/>
    <w:multiLevelType w:val="hybridMultilevel"/>
    <w:tmpl w:val="75D6F1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7356794">
    <w:abstractNumId w:val="3"/>
  </w:num>
  <w:num w:numId="2" w16cid:durableId="1875534204">
    <w:abstractNumId w:val="16"/>
  </w:num>
  <w:num w:numId="3" w16cid:durableId="1108500201">
    <w:abstractNumId w:val="2"/>
  </w:num>
  <w:num w:numId="4" w16cid:durableId="1009452713">
    <w:abstractNumId w:val="0"/>
  </w:num>
  <w:num w:numId="5" w16cid:durableId="1653682006">
    <w:abstractNumId w:val="11"/>
  </w:num>
  <w:num w:numId="6" w16cid:durableId="1674642746">
    <w:abstractNumId w:val="7"/>
  </w:num>
  <w:num w:numId="7" w16cid:durableId="689381836">
    <w:abstractNumId w:val="17"/>
  </w:num>
  <w:num w:numId="8" w16cid:durableId="1631978969">
    <w:abstractNumId w:val="14"/>
  </w:num>
  <w:num w:numId="9" w16cid:durableId="1688482220">
    <w:abstractNumId w:val="6"/>
  </w:num>
  <w:num w:numId="10" w16cid:durableId="1006136203">
    <w:abstractNumId w:val="10"/>
  </w:num>
  <w:num w:numId="11" w16cid:durableId="627854753">
    <w:abstractNumId w:val="4"/>
  </w:num>
  <w:num w:numId="12" w16cid:durableId="207760279">
    <w:abstractNumId w:val="13"/>
  </w:num>
  <w:num w:numId="13" w16cid:durableId="1049647652">
    <w:abstractNumId w:val="8"/>
  </w:num>
  <w:num w:numId="14" w16cid:durableId="111486578">
    <w:abstractNumId w:val="5"/>
  </w:num>
  <w:num w:numId="15" w16cid:durableId="211969025">
    <w:abstractNumId w:val="15"/>
  </w:num>
  <w:num w:numId="16" w16cid:durableId="1646660097">
    <w:abstractNumId w:val="1"/>
  </w:num>
  <w:num w:numId="17" w16cid:durableId="43599364">
    <w:abstractNumId w:val="12"/>
  </w:num>
  <w:num w:numId="18" w16cid:durableId="439647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CA"/>
    <w:rsid w:val="00000F23"/>
    <w:rsid w:val="000047C9"/>
    <w:rsid w:val="00004A81"/>
    <w:rsid w:val="00016EE0"/>
    <w:rsid w:val="00020375"/>
    <w:rsid w:val="00026384"/>
    <w:rsid w:val="00031D85"/>
    <w:rsid w:val="00032D97"/>
    <w:rsid w:val="00040A2F"/>
    <w:rsid w:val="00041B5D"/>
    <w:rsid w:val="0004336E"/>
    <w:rsid w:val="00057A9E"/>
    <w:rsid w:val="00063700"/>
    <w:rsid w:val="00065CD6"/>
    <w:rsid w:val="000722E2"/>
    <w:rsid w:val="00073A91"/>
    <w:rsid w:val="000764D7"/>
    <w:rsid w:val="00081D4D"/>
    <w:rsid w:val="00082057"/>
    <w:rsid w:val="000922B1"/>
    <w:rsid w:val="000A23A8"/>
    <w:rsid w:val="000A7F89"/>
    <w:rsid w:val="000B768B"/>
    <w:rsid w:val="000C1712"/>
    <w:rsid w:val="000D423C"/>
    <w:rsid w:val="000E2D9D"/>
    <w:rsid w:val="000F168C"/>
    <w:rsid w:val="000F3B1E"/>
    <w:rsid w:val="000F3B71"/>
    <w:rsid w:val="00104B3F"/>
    <w:rsid w:val="00113253"/>
    <w:rsid w:val="00117238"/>
    <w:rsid w:val="00131C1E"/>
    <w:rsid w:val="001323D0"/>
    <w:rsid w:val="00134AD6"/>
    <w:rsid w:val="00143F89"/>
    <w:rsid w:val="00146357"/>
    <w:rsid w:val="00153B88"/>
    <w:rsid w:val="00154FD0"/>
    <w:rsid w:val="001627E8"/>
    <w:rsid w:val="00163669"/>
    <w:rsid w:val="00163BAF"/>
    <w:rsid w:val="001729C6"/>
    <w:rsid w:val="001812E9"/>
    <w:rsid w:val="0018785B"/>
    <w:rsid w:val="001A3913"/>
    <w:rsid w:val="001B0CFE"/>
    <w:rsid w:val="001B2780"/>
    <w:rsid w:val="001B78DA"/>
    <w:rsid w:val="001C5AB5"/>
    <w:rsid w:val="001C6A8C"/>
    <w:rsid w:val="001D31A2"/>
    <w:rsid w:val="001D6183"/>
    <w:rsid w:val="001E214B"/>
    <w:rsid w:val="001E3965"/>
    <w:rsid w:val="001E4985"/>
    <w:rsid w:val="001E5BEC"/>
    <w:rsid w:val="0022621E"/>
    <w:rsid w:val="002336F1"/>
    <w:rsid w:val="002434D2"/>
    <w:rsid w:val="0024506B"/>
    <w:rsid w:val="002504B8"/>
    <w:rsid w:val="00254427"/>
    <w:rsid w:val="00262F6F"/>
    <w:rsid w:val="00263201"/>
    <w:rsid w:val="002674F1"/>
    <w:rsid w:val="0026782E"/>
    <w:rsid w:val="00274DB6"/>
    <w:rsid w:val="0028043F"/>
    <w:rsid w:val="002830D6"/>
    <w:rsid w:val="00284CC4"/>
    <w:rsid w:val="00287F5B"/>
    <w:rsid w:val="002945A3"/>
    <w:rsid w:val="002B610B"/>
    <w:rsid w:val="002E441E"/>
    <w:rsid w:val="002F06D3"/>
    <w:rsid w:val="003010E0"/>
    <w:rsid w:val="0031773C"/>
    <w:rsid w:val="00331D8A"/>
    <w:rsid w:val="003328C7"/>
    <w:rsid w:val="00336158"/>
    <w:rsid w:val="00336851"/>
    <w:rsid w:val="00360744"/>
    <w:rsid w:val="003723FD"/>
    <w:rsid w:val="003766FD"/>
    <w:rsid w:val="00377B74"/>
    <w:rsid w:val="003935B7"/>
    <w:rsid w:val="003A1CD1"/>
    <w:rsid w:val="003B5CAB"/>
    <w:rsid w:val="003C10C5"/>
    <w:rsid w:val="003D1656"/>
    <w:rsid w:val="003D2C12"/>
    <w:rsid w:val="003D4511"/>
    <w:rsid w:val="003E514A"/>
    <w:rsid w:val="003F01A3"/>
    <w:rsid w:val="003F132D"/>
    <w:rsid w:val="00407F63"/>
    <w:rsid w:val="00410790"/>
    <w:rsid w:val="00414A38"/>
    <w:rsid w:val="00415A6C"/>
    <w:rsid w:val="004258DE"/>
    <w:rsid w:val="00425E2A"/>
    <w:rsid w:val="004301B4"/>
    <w:rsid w:val="00432821"/>
    <w:rsid w:val="00434198"/>
    <w:rsid w:val="00435913"/>
    <w:rsid w:val="00435EF5"/>
    <w:rsid w:val="0046030E"/>
    <w:rsid w:val="0046191D"/>
    <w:rsid w:val="00467346"/>
    <w:rsid w:val="00476FBD"/>
    <w:rsid w:val="00484539"/>
    <w:rsid w:val="0048618F"/>
    <w:rsid w:val="0049086F"/>
    <w:rsid w:val="004955FA"/>
    <w:rsid w:val="004A4230"/>
    <w:rsid w:val="004A693F"/>
    <w:rsid w:val="004B4012"/>
    <w:rsid w:val="004C789B"/>
    <w:rsid w:val="004C7C2B"/>
    <w:rsid w:val="004E51AD"/>
    <w:rsid w:val="005022E6"/>
    <w:rsid w:val="00517BAC"/>
    <w:rsid w:val="00523D0F"/>
    <w:rsid w:val="005331E9"/>
    <w:rsid w:val="00533FF8"/>
    <w:rsid w:val="00561051"/>
    <w:rsid w:val="00561356"/>
    <w:rsid w:val="005615C4"/>
    <w:rsid w:val="005749D6"/>
    <w:rsid w:val="005776B3"/>
    <w:rsid w:val="00591F3E"/>
    <w:rsid w:val="005A49F3"/>
    <w:rsid w:val="005B1384"/>
    <w:rsid w:val="005B37C7"/>
    <w:rsid w:val="005B4C9B"/>
    <w:rsid w:val="005B54B4"/>
    <w:rsid w:val="005B5755"/>
    <w:rsid w:val="005D25BD"/>
    <w:rsid w:val="005D40A1"/>
    <w:rsid w:val="005D601F"/>
    <w:rsid w:val="005F5F44"/>
    <w:rsid w:val="00602199"/>
    <w:rsid w:val="00606F16"/>
    <w:rsid w:val="0061663C"/>
    <w:rsid w:val="00633A5A"/>
    <w:rsid w:val="006600CA"/>
    <w:rsid w:val="00670D93"/>
    <w:rsid w:val="00674EEF"/>
    <w:rsid w:val="006A3114"/>
    <w:rsid w:val="006A3FE1"/>
    <w:rsid w:val="006A7287"/>
    <w:rsid w:val="006B36BF"/>
    <w:rsid w:val="006C7BD7"/>
    <w:rsid w:val="006D66B2"/>
    <w:rsid w:val="006F0626"/>
    <w:rsid w:val="006F336F"/>
    <w:rsid w:val="006F7E5C"/>
    <w:rsid w:val="00704B4F"/>
    <w:rsid w:val="00712CE2"/>
    <w:rsid w:val="00712CF4"/>
    <w:rsid w:val="00712FD0"/>
    <w:rsid w:val="00720F94"/>
    <w:rsid w:val="007232A0"/>
    <w:rsid w:val="00737104"/>
    <w:rsid w:val="00740058"/>
    <w:rsid w:val="007452EF"/>
    <w:rsid w:val="007626AC"/>
    <w:rsid w:val="00773921"/>
    <w:rsid w:val="00776948"/>
    <w:rsid w:val="00781B81"/>
    <w:rsid w:val="0078297E"/>
    <w:rsid w:val="00786CB4"/>
    <w:rsid w:val="007870B9"/>
    <w:rsid w:val="00795254"/>
    <w:rsid w:val="007C35CA"/>
    <w:rsid w:val="007C3943"/>
    <w:rsid w:val="007D3B21"/>
    <w:rsid w:val="007E41FD"/>
    <w:rsid w:val="007E7476"/>
    <w:rsid w:val="007F65A5"/>
    <w:rsid w:val="007F7930"/>
    <w:rsid w:val="007F7D14"/>
    <w:rsid w:val="008034EC"/>
    <w:rsid w:val="00803640"/>
    <w:rsid w:val="00804174"/>
    <w:rsid w:val="00807ED6"/>
    <w:rsid w:val="00811E5E"/>
    <w:rsid w:val="00825CB5"/>
    <w:rsid w:val="0083659A"/>
    <w:rsid w:val="00837837"/>
    <w:rsid w:val="0085483B"/>
    <w:rsid w:val="00862456"/>
    <w:rsid w:val="008636C3"/>
    <w:rsid w:val="0086561B"/>
    <w:rsid w:val="008928B2"/>
    <w:rsid w:val="008A148E"/>
    <w:rsid w:val="008B1CDC"/>
    <w:rsid w:val="008B4068"/>
    <w:rsid w:val="008D03D7"/>
    <w:rsid w:val="008D3ACD"/>
    <w:rsid w:val="008D75A9"/>
    <w:rsid w:val="008E2248"/>
    <w:rsid w:val="008E3AAA"/>
    <w:rsid w:val="008E5322"/>
    <w:rsid w:val="008E6E3E"/>
    <w:rsid w:val="008F33C0"/>
    <w:rsid w:val="009070C8"/>
    <w:rsid w:val="009119E8"/>
    <w:rsid w:val="00924BAE"/>
    <w:rsid w:val="00925E16"/>
    <w:rsid w:val="00937692"/>
    <w:rsid w:val="00941A45"/>
    <w:rsid w:val="00947D3D"/>
    <w:rsid w:val="00961B85"/>
    <w:rsid w:val="0097279E"/>
    <w:rsid w:val="00974586"/>
    <w:rsid w:val="00982A44"/>
    <w:rsid w:val="00982BDF"/>
    <w:rsid w:val="0098366B"/>
    <w:rsid w:val="009917A3"/>
    <w:rsid w:val="00993189"/>
    <w:rsid w:val="00994125"/>
    <w:rsid w:val="0099426E"/>
    <w:rsid w:val="009A19A4"/>
    <w:rsid w:val="009A4AA0"/>
    <w:rsid w:val="009B0D49"/>
    <w:rsid w:val="009B6087"/>
    <w:rsid w:val="009C2BAA"/>
    <w:rsid w:val="009C570C"/>
    <w:rsid w:val="009D26FC"/>
    <w:rsid w:val="009D3F6C"/>
    <w:rsid w:val="009D62A8"/>
    <w:rsid w:val="009E0B6E"/>
    <w:rsid w:val="009E6D08"/>
    <w:rsid w:val="00A018C2"/>
    <w:rsid w:val="00A26BA2"/>
    <w:rsid w:val="00A2722A"/>
    <w:rsid w:val="00A30D2E"/>
    <w:rsid w:val="00A31336"/>
    <w:rsid w:val="00A352F6"/>
    <w:rsid w:val="00A460D9"/>
    <w:rsid w:val="00A5375F"/>
    <w:rsid w:val="00A66C4F"/>
    <w:rsid w:val="00A70E5C"/>
    <w:rsid w:val="00A81881"/>
    <w:rsid w:val="00AB38F2"/>
    <w:rsid w:val="00AC5AD3"/>
    <w:rsid w:val="00AC636F"/>
    <w:rsid w:val="00B3006F"/>
    <w:rsid w:val="00B40001"/>
    <w:rsid w:val="00B451AA"/>
    <w:rsid w:val="00B57682"/>
    <w:rsid w:val="00B74299"/>
    <w:rsid w:val="00B76C83"/>
    <w:rsid w:val="00B87335"/>
    <w:rsid w:val="00BA335F"/>
    <w:rsid w:val="00BA5CE7"/>
    <w:rsid w:val="00BB2E41"/>
    <w:rsid w:val="00BB7208"/>
    <w:rsid w:val="00BC46B1"/>
    <w:rsid w:val="00BD5839"/>
    <w:rsid w:val="00C00AFB"/>
    <w:rsid w:val="00C01463"/>
    <w:rsid w:val="00C06CD2"/>
    <w:rsid w:val="00C12AC2"/>
    <w:rsid w:val="00C17C0D"/>
    <w:rsid w:val="00C21439"/>
    <w:rsid w:val="00C214FA"/>
    <w:rsid w:val="00C22336"/>
    <w:rsid w:val="00C26B30"/>
    <w:rsid w:val="00C276A9"/>
    <w:rsid w:val="00C31962"/>
    <w:rsid w:val="00C33FE9"/>
    <w:rsid w:val="00C456D5"/>
    <w:rsid w:val="00C4598D"/>
    <w:rsid w:val="00C459C6"/>
    <w:rsid w:val="00C474D5"/>
    <w:rsid w:val="00C56545"/>
    <w:rsid w:val="00C57CAE"/>
    <w:rsid w:val="00C61629"/>
    <w:rsid w:val="00C65D30"/>
    <w:rsid w:val="00C76F51"/>
    <w:rsid w:val="00CA2D65"/>
    <w:rsid w:val="00CC0E28"/>
    <w:rsid w:val="00CC70A3"/>
    <w:rsid w:val="00CD2A0D"/>
    <w:rsid w:val="00CD62F3"/>
    <w:rsid w:val="00CE3F62"/>
    <w:rsid w:val="00CE7C87"/>
    <w:rsid w:val="00CF47C7"/>
    <w:rsid w:val="00D042DD"/>
    <w:rsid w:val="00D12DD3"/>
    <w:rsid w:val="00D218D0"/>
    <w:rsid w:val="00D22FFF"/>
    <w:rsid w:val="00D32DE0"/>
    <w:rsid w:val="00D358AD"/>
    <w:rsid w:val="00D440D7"/>
    <w:rsid w:val="00D45133"/>
    <w:rsid w:val="00D4652F"/>
    <w:rsid w:val="00D46757"/>
    <w:rsid w:val="00D46775"/>
    <w:rsid w:val="00D517AC"/>
    <w:rsid w:val="00D55A51"/>
    <w:rsid w:val="00D623F4"/>
    <w:rsid w:val="00D70E88"/>
    <w:rsid w:val="00D71059"/>
    <w:rsid w:val="00D73E53"/>
    <w:rsid w:val="00D748BE"/>
    <w:rsid w:val="00D76B36"/>
    <w:rsid w:val="00D829C4"/>
    <w:rsid w:val="00D8364A"/>
    <w:rsid w:val="00D85A95"/>
    <w:rsid w:val="00DC23F2"/>
    <w:rsid w:val="00DC2477"/>
    <w:rsid w:val="00DD0F5B"/>
    <w:rsid w:val="00DD2CA9"/>
    <w:rsid w:val="00DD60A7"/>
    <w:rsid w:val="00DE3CA6"/>
    <w:rsid w:val="00DE78CB"/>
    <w:rsid w:val="00DF5CF4"/>
    <w:rsid w:val="00E11B98"/>
    <w:rsid w:val="00E1350C"/>
    <w:rsid w:val="00E22AD8"/>
    <w:rsid w:val="00E30CBE"/>
    <w:rsid w:val="00E30EC7"/>
    <w:rsid w:val="00E50CA3"/>
    <w:rsid w:val="00E545BF"/>
    <w:rsid w:val="00E60164"/>
    <w:rsid w:val="00E60A54"/>
    <w:rsid w:val="00E66AFE"/>
    <w:rsid w:val="00E72F58"/>
    <w:rsid w:val="00EA373D"/>
    <w:rsid w:val="00EA6633"/>
    <w:rsid w:val="00EB4031"/>
    <w:rsid w:val="00EB47FB"/>
    <w:rsid w:val="00EC53F0"/>
    <w:rsid w:val="00EE70F6"/>
    <w:rsid w:val="00F05BF0"/>
    <w:rsid w:val="00F05CC3"/>
    <w:rsid w:val="00F1154B"/>
    <w:rsid w:val="00F2553D"/>
    <w:rsid w:val="00F2637A"/>
    <w:rsid w:val="00F2727A"/>
    <w:rsid w:val="00F30D69"/>
    <w:rsid w:val="00F42104"/>
    <w:rsid w:val="00F437B7"/>
    <w:rsid w:val="00F50393"/>
    <w:rsid w:val="00F53472"/>
    <w:rsid w:val="00F61303"/>
    <w:rsid w:val="00F61916"/>
    <w:rsid w:val="00F64F49"/>
    <w:rsid w:val="00F916CA"/>
    <w:rsid w:val="00F95931"/>
    <w:rsid w:val="00FA5D70"/>
    <w:rsid w:val="00FB1C11"/>
    <w:rsid w:val="00FB42F8"/>
    <w:rsid w:val="00FD0A09"/>
    <w:rsid w:val="00FD6879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DA1B"/>
  <w15:docId w15:val="{351322CD-6F69-46C3-9F7D-9B15BD45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600CA"/>
    <w:rPr>
      <w:rFonts w:ascii="PetersburgC" w:hAnsi="PetersburgC" w:hint="default"/>
      <w:b w:val="0"/>
      <w:bCs w:val="0"/>
      <w:i w:val="0"/>
      <w:iCs w:val="0"/>
      <w:color w:val="231F20"/>
      <w:sz w:val="20"/>
      <w:szCs w:val="20"/>
    </w:rPr>
  </w:style>
  <w:style w:type="character" w:styleId="a3">
    <w:name w:val="Hyperlink"/>
    <w:basedOn w:val="a0"/>
    <w:uiPriority w:val="99"/>
    <w:unhideWhenUsed/>
    <w:rsid w:val="00B40001"/>
    <w:rPr>
      <w:color w:val="0000FF"/>
      <w:u w:val="single"/>
    </w:rPr>
  </w:style>
  <w:style w:type="paragraph" w:styleId="a4">
    <w:name w:val="Normal (Web)"/>
    <w:aliases w:val="Обычный (Web),Обычный (веб)1"/>
    <w:basedOn w:val="a"/>
    <w:uiPriority w:val="99"/>
    <w:unhideWhenUsed/>
    <w:qFormat/>
    <w:rsid w:val="004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A313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31336"/>
  </w:style>
  <w:style w:type="paragraph" w:styleId="a7">
    <w:name w:val="footer"/>
    <w:basedOn w:val="a"/>
    <w:link w:val="a8"/>
    <w:uiPriority w:val="99"/>
    <w:unhideWhenUsed/>
    <w:rsid w:val="00A313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1336"/>
  </w:style>
  <w:style w:type="paragraph" w:styleId="a9">
    <w:name w:val="Body Text Indent"/>
    <w:basedOn w:val="a"/>
    <w:link w:val="aa"/>
    <w:rsid w:val="00467346"/>
    <w:pPr>
      <w:spacing w:after="0" w:line="240" w:lineRule="auto"/>
      <w:ind w:right="-284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46734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1">
    <w:name w:val="fontstyle21"/>
    <w:basedOn w:val="a0"/>
    <w:rsid w:val="009C2BAA"/>
    <w:rPr>
      <w:rFonts w:ascii="TimesNewRoman" w:hAnsi="TimesNewRoman" w:hint="default"/>
      <w:b/>
      <w:bCs/>
      <w:i w:val="0"/>
      <w:iCs w:val="0"/>
      <w:color w:val="000000"/>
      <w:sz w:val="14"/>
      <w:szCs w:val="14"/>
    </w:rPr>
  </w:style>
  <w:style w:type="paragraph" w:styleId="ab">
    <w:name w:val="Balloon Text"/>
    <w:basedOn w:val="a"/>
    <w:link w:val="ac"/>
    <w:uiPriority w:val="99"/>
    <w:semiHidden/>
    <w:unhideWhenUsed/>
    <w:rsid w:val="00CA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2D65"/>
    <w:rPr>
      <w:rFonts w:ascii="Tahoma" w:hAnsi="Tahoma" w:cs="Tahoma"/>
      <w:sz w:val="16"/>
      <w:szCs w:val="16"/>
    </w:rPr>
  </w:style>
  <w:style w:type="character" w:styleId="ad">
    <w:name w:val="Strong"/>
    <w:qFormat/>
    <w:rsid w:val="00CA2D65"/>
    <w:rPr>
      <w:b/>
      <w:bCs/>
    </w:rPr>
  </w:style>
  <w:style w:type="paragraph" w:customStyle="1" w:styleId="BodyText21">
    <w:name w:val="Body Text 21"/>
    <w:basedOn w:val="a"/>
    <w:rsid w:val="00CA2D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e">
    <w:name w:val="Table Grid"/>
    <w:basedOn w:val="a1"/>
    <w:uiPriority w:val="39"/>
    <w:rsid w:val="00C3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rsid w:val="003A1CD1"/>
    <w:pPr>
      <w:ind w:left="720"/>
      <w:contextualSpacing/>
    </w:pPr>
  </w:style>
  <w:style w:type="paragraph" w:customStyle="1" w:styleId="af0">
    <w:name w:val="Знак Знак Знак Знак Знак Знак Знак Знак Знак Знак Знак Знак"/>
    <w:basedOn w:val="a"/>
    <w:rsid w:val="008D75A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lid-translation">
    <w:name w:val="tlid-translation"/>
    <w:basedOn w:val="a0"/>
    <w:rsid w:val="00EA6633"/>
  </w:style>
  <w:style w:type="paragraph" w:customStyle="1" w:styleId="Pa13">
    <w:name w:val="Pa13"/>
    <w:basedOn w:val="a"/>
    <w:next w:val="a"/>
    <w:uiPriority w:val="99"/>
    <w:rsid w:val="005B5755"/>
    <w:pPr>
      <w:autoSpaceDE w:val="0"/>
      <w:autoSpaceDN w:val="0"/>
      <w:adjustRightInd w:val="0"/>
      <w:spacing w:after="0" w:line="211" w:lineRule="atLeas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154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D12DD3"/>
    <w:rPr>
      <w:color w:val="605E5C"/>
      <w:shd w:val="clear" w:color="auto" w:fill="E1DFDD"/>
    </w:rPr>
  </w:style>
  <w:style w:type="table" w:customStyle="1" w:styleId="TableGrid">
    <w:name w:val="TableGrid"/>
    <w:rsid w:val="00153B88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Рамка"/>
    <w:basedOn w:val="a"/>
    <w:uiPriority w:val="99"/>
    <w:rsid w:val="00B3006F"/>
    <w:pPr>
      <w:spacing w:after="0" w:line="240" w:lineRule="auto"/>
      <w:jc w:val="both"/>
    </w:pPr>
    <w:rPr>
      <w:rFonts w:ascii="Arial" w:eastAsia="Times New Roman" w:hAnsi="Arial" w:cs="Times New Roman"/>
      <w:i/>
      <w:sz w:val="1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2A45-2E72-4B5C-A032-9690BAC9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2</Pages>
  <Words>4046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Олександр Хадарцев</cp:lastModifiedBy>
  <cp:revision>42</cp:revision>
  <dcterms:created xsi:type="dcterms:W3CDTF">2019-11-11T11:07:00Z</dcterms:created>
  <dcterms:modified xsi:type="dcterms:W3CDTF">2022-05-06T10:44:00Z</dcterms:modified>
</cp:coreProperties>
</file>