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right="13"/>
        <w:jc w:val="center"/>
        <w:rPr>
          <w:rFonts w:ascii="Times New Roman" w:hAnsi="Times New Roman" w:eastAsia="Times New Roman"/>
        </w:rPr>
      </w:pPr>
      <w:r>
        <w:rPr>
          <w:rFonts w:ascii="Times New Roman" w:hAnsi="Times New Roman" w:eastAsia="Times New Roman"/>
        </w:rPr>
        <w:t>МОДЕЛЮВАННЯ ЦІЛЬОВИХ ОПЕРАЦІЙ У ТЕХНІЧНИХ</w:t>
      </w:r>
    </w:p>
    <w:p>
      <w:pPr>
        <w:spacing w:line="3" w:lineRule="exact"/>
        <w:rPr>
          <w:rFonts w:ascii="Times New Roman" w:hAnsi="Times New Roman" w:eastAsia="Times New Roman"/>
        </w:rPr>
      </w:pPr>
    </w:p>
    <w:p>
      <w:pPr>
        <w:spacing w:line="0" w:lineRule="atLeast"/>
        <w:ind w:right="-6"/>
        <w:jc w:val="center"/>
        <w:rPr>
          <w:rFonts w:ascii="Times New Roman" w:hAnsi="Times New Roman" w:eastAsia="Times New Roman"/>
        </w:rPr>
      </w:pPr>
      <w:r>
        <w:rPr>
          <w:rFonts w:ascii="Times New Roman" w:hAnsi="Times New Roman" w:eastAsia="Times New Roman"/>
        </w:rPr>
        <w:t>І БІОЛОГІЧНИХ СИСТЕМАХ ТА ОБ’ЄКТАХ</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09504" behindDoc="1" locked="0" layoutInCell="1" allowOverlap="1">
            <wp:simplePos x="0" y="0"/>
            <wp:positionH relativeFrom="column">
              <wp:posOffset>-17780</wp:posOffset>
            </wp:positionH>
            <wp:positionV relativeFrom="paragraph">
              <wp:posOffset>24130</wp:posOffset>
            </wp:positionV>
            <wp:extent cx="6158230" cy="8890"/>
            <wp:effectExtent l="0" t="0" r="0" b="0"/>
            <wp:wrapNone/>
            <wp:docPr id="7"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2"/>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86" w:lineRule="exact"/>
        <w:rPr>
          <w:rFonts w:ascii="Times New Roman" w:hAnsi="Times New Roman" w:eastAsia="Times New Roman"/>
        </w:rPr>
      </w:pPr>
    </w:p>
    <w:p>
      <w:pPr>
        <w:spacing w:line="239" w:lineRule="auto"/>
        <w:ind w:left="7" w:firstLine="284"/>
        <w:jc w:val="both"/>
        <w:rPr>
          <w:rFonts w:ascii="Times New Roman" w:hAnsi="Times New Roman" w:eastAsia="Times New Roman"/>
        </w:rPr>
      </w:pPr>
      <w:r>
        <w:rPr>
          <w:rFonts w:ascii="Times New Roman" w:hAnsi="Times New Roman" w:eastAsia="Times New Roman"/>
        </w:rPr>
        <w:t>Залежно від того, які дані використовуються для розрахунку рекомендацій, системи діляться на три великі класи, що використовують такі методи: методи колаборативної фільтрації; методи, що аналізують вміст об'єк-тів; методи, засновані на знаннях [4].</w:t>
      </w:r>
    </w:p>
    <w:p>
      <w:pPr>
        <w:spacing w:line="2" w:lineRule="exact"/>
        <w:rPr>
          <w:rFonts w:ascii="Times New Roman" w:hAnsi="Times New Roman" w:eastAsia="Times New Roman"/>
        </w:rPr>
      </w:pPr>
    </w:p>
    <w:p>
      <w:pPr>
        <w:spacing w:line="0" w:lineRule="atLeast"/>
        <w:ind w:left="287"/>
        <w:rPr>
          <w:rFonts w:ascii="Times New Roman" w:hAnsi="Times New Roman" w:eastAsia="Times New Roman"/>
        </w:rPr>
      </w:pPr>
      <w:r>
        <w:rPr>
          <w:rFonts w:ascii="Times New Roman" w:hAnsi="Times New Roman" w:eastAsia="Times New Roman"/>
        </w:rPr>
        <w:t>Методи колаборативної фільтрації просять кожного користувача системи висловити свою думку, виражену</w:t>
      </w:r>
    </w:p>
    <w:p>
      <w:pPr>
        <w:numPr>
          <w:ilvl w:val="0"/>
          <w:numId w:val="1"/>
        </w:numPr>
        <w:tabs>
          <w:tab w:val="left" w:pos="170"/>
        </w:tabs>
        <w:spacing w:line="0" w:lineRule="atLeast"/>
        <w:ind w:left="7" w:hanging="7"/>
        <w:jc w:val="both"/>
        <w:rPr>
          <w:rFonts w:ascii="Times New Roman" w:hAnsi="Times New Roman" w:eastAsia="Times New Roman"/>
        </w:rPr>
      </w:pPr>
      <w:r>
        <w:rPr>
          <w:rFonts w:ascii="Times New Roman" w:hAnsi="Times New Roman" w:eastAsia="Times New Roman"/>
        </w:rPr>
        <w:t>певному числовому значенні, на деякій шкалі градації щодо висунутого проти нього ряду об'єктів. Основна ідея полягає в порівнянні між собою інтересів різних користувачів або об'єктів на основі цих оцінок. При цьому ніякої додаткової інформації про самих користувачів і об'єктах не використовується. Методи другого класу, навпаки, використовують вміст об'єктів для отримання рекомендацій. Але ці методи добре працюють в тих ви-падках, коли вміст об'єктів представлено у вигляді текстів. Методи, засновані на знаннях, вимагають від корис-тувача описати свої вимоги до потрібних йому об'єктів, а потім пошук відбувається з використанням бази знань, з якої вибирають об’єкти, що задовольнять висунутим вимогам.</w:t>
      </w:r>
    </w:p>
    <w:p>
      <w:pPr>
        <w:spacing w:line="239" w:lineRule="auto"/>
        <w:ind w:left="7" w:firstLine="284"/>
        <w:jc w:val="both"/>
        <w:rPr>
          <w:rFonts w:ascii="Times New Roman" w:hAnsi="Times New Roman" w:eastAsia="Times New Roman"/>
        </w:rPr>
      </w:pPr>
      <w:r>
        <w:rPr>
          <w:rFonts w:ascii="Times New Roman" w:hAnsi="Times New Roman" w:eastAsia="Times New Roman"/>
        </w:rPr>
        <w:t>Враховуючі те, що на сьогоднішній день, відсутні уніфіковані рекомендації щодо проведення аналізу соціа-льного профілю при формуванні рекомендацій щодо наявних вакансій, то виникає необхідність провести дослі-дження та розробку моделей та систем формування рекомендацій щодо наявних вакансій з елементами систе-много аналізу.</w:t>
      </w:r>
    </w:p>
    <w:p>
      <w:pPr>
        <w:spacing w:line="3" w:lineRule="exact"/>
        <w:rPr>
          <w:rFonts w:ascii="Times New Roman" w:hAnsi="Times New Roman" w:eastAsia="Times New Roman"/>
        </w:rPr>
      </w:pPr>
    </w:p>
    <w:p>
      <w:pPr>
        <w:spacing w:line="0" w:lineRule="atLeast"/>
        <w:ind w:left="7" w:firstLine="284"/>
        <w:jc w:val="both"/>
        <w:rPr>
          <w:rFonts w:ascii="Times New Roman" w:hAnsi="Times New Roman" w:eastAsia="Times New Roman"/>
        </w:rPr>
      </w:pPr>
      <w:r>
        <w:rPr>
          <w:rFonts w:ascii="Times New Roman" w:hAnsi="Times New Roman" w:eastAsia="Times New Roman"/>
        </w:rPr>
        <w:t>Опишемо алгоритм формування рекомендацій. В основі алгоритму лежить матриця, що складається з рей-тингів (лайків, фактів покупки і т.і.), які користувачі (рядки матриці) присвоїли продуктам (стовпці матриці). Як правило, один користувач не зможе оцінити значну частку продуктів. Тому навряд чи буде багато продуктів, які готова оцінити значна частка користувачів. Це значить, що матриця R - сильно розріджена.</w:t>
      </w:r>
    </w:p>
    <w:p>
      <w:pPr>
        <w:spacing w:line="1" w:lineRule="exact"/>
        <w:rPr>
          <w:rFonts w:ascii="Times New Roman" w:hAnsi="Times New Roman" w:eastAsia="Times New Roman"/>
        </w:rPr>
      </w:pPr>
    </w:p>
    <w:p>
      <w:pPr>
        <w:spacing w:line="199" w:lineRule="auto"/>
        <w:ind w:left="7" w:firstLine="284"/>
        <w:rPr>
          <w:rFonts w:ascii="Times New Roman" w:hAnsi="Times New Roman" w:eastAsia="Times New Roman"/>
        </w:rPr>
      </w:pPr>
      <w:r>
        <w:rPr>
          <w:rFonts w:ascii="Times New Roman" w:hAnsi="Times New Roman" w:eastAsia="Times New Roman"/>
        </w:rPr>
        <w:t>Введемо так звані базові предиктори b</w:t>
      </w:r>
      <w:r>
        <w:rPr>
          <w:rFonts w:ascii="Times New Roman" w:hAnsi="Times New Roman" w:eastAsia="Times New Roman"/>
          <w:sz w:val="25"/>
          <w:vertAlign w:val="subscript"/>
        </w:rPr>
        <w:t>i</w:t>
      </w:r>
      <w:r>
        <w:rPr>
          <w:rFonts w:ascii="Times New Roman" w:hAnsi="Times New Roman" w:eastAsia="Times New Roman"/>
        </w:rPr>
        <w:t>, a, які складаються з базових предикаторів окремих користувачів b</w:t>
      </w:r>
      <w:r>
        <w:rPr>
          <w:rFonts w:ascii="Times New Roman" w:hAnsi="Times New Roman" w:eastAsia="Times New Roman"/>
          <w:sz w:val="25"/>
          <w:vertAlign w:val="subscript"/>
        </w:rPr>
        <w:t>i</w:t>
      </w:r>
      <w:r>
        <w:rPr>
          <w:rFonts w:ascii="Times New Roman" w:hAnsi="Times New Roman" w:eastAsia="Times New Roman"/>
        </w:rPr>
        <w:t>, і окремих продуктів b</w:t>
      </w:r>
      <w:r>
        <w:rPr>
          <w:rFonts w:ascii="Times New Roman" w:hAnsi="Times New Roman" w:eastAsia="Times New Roman"/>
          <w:sz w:val="25"/>
          <w:vertAlign w:val="subscript"/>
        </w:rPr>
        <w:t>a</w:t>
      </w:r>
      <w:r>
        <w:rPr>
          <w:rFonts w:ascii="Times New Roman" w:hAnsi="Times New Roman" w:eastAsia="Times New Roman"/>
        </w:rPr>
        <w:t>, а також просто загальної середньої рейтингу по базі μ:</w:t>
      </w:r>
    </w:p>
    <w:tbl>
      <w:tblPr>
        <w:tblStyle w:val="3"/>
        <w:tblW w:w="6220" w:type="dxa"/>
        <w:tblInd w:w="34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680"/>
        <w:gridCol w:w="2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4" w:hRule="atLeast"/>
        </w:trPr>
        <w:tc>
          <w:tcPr>
            <w:tcW w:w="3680" w:type="dxa"/>
            <w:vAlign w:val="bottom"/>
          </w:tcPr>
          <w:p>
            <w:pPr>
              <w:spacing w:line="0" w:lineRule="atLeast"/>
              <w:rPr>
                <w:rFonts w:ascii="Times New Roman" w:hAnsi="Times New Roman" w:eastAsia="Times New Roman"/>
                <w:i/>
                <w:sz w:val="23"/>
                <w:vertAlign w:val="subscript"/>
              </w:rPr>
            </w:pPr>
            <w:r>
              <w:rPr>
                <w:rFonts w:ascii="Times New Roman" w:hAnsi="Times New Roman" w:eastAsia="Times New Roman"/>
                <w:i/>
                <w:sz w:val="17"/>
              </w:rPr>
              <w:t>b</w:t>
            </w:r>
            <w:r>
              <w:rPr>
                <w:rFonts w:ascii="Times New Roman" w:hAnsi="Times New Roman" w:eastAsia="Times New Roman"/>
                <w:i/>
                <w:sz w:val="23"/>
                <w:vertAlign w:val="subscript"/>
              </w:rPr>
              <w:t>i ,a</w:t>
            </w:r>
            <w:r>
              <w:rPr>
                <w:rFonts w:ascii="Times New Roman" w:hAnsi="Times New Roman" w:eastAsia="Times New Roman"/>
                <w:i/>
                <w:sz w:val="17"/>
              </w:rPr>
              <w:t xml:space="preserve">  </w:t>
            </w:r>
            <w:r>
              <w:rPr>
                <w:rFonts w:ascii="Symbol" w:hAnsi="Symbol" w:eastAsia="Symbol"/>
                <w:sz w:val="17"/>
              </w:rPr>
              <w:t>  </w:t>
            </w:r>
            <w:r>
              <w:rPr>
                <w:rFonts w:ascii="Times New Roman" w:hAnsi="Times New Roman" w:eastAsia="Times New Roman"/>
                <w:i/>
                <w:sz w:val="17"/>
              </w:rPr>
              <w:t xml:space="preserve"> b</w:t>
            </w:r>
            <w:r>
              <w:rPr>
                <w:rFonts w:ascii="Times New Roman" w:hAnsi="Times New Roman" w:eastAsia="Times New Roman"/>
                <w:i/>
                <w:sz w:val="23"/>
                <w:vertAlign w:val="subscript"/>
              </w:rPr>
              <w:t>i</w:t>
            </w:r>
            <w:r>
              <w:rPr>
                <w:rFonts w:ascii="Times New Roman" w:hAnsi="Times New Roman" w:eastAsia="Times New Roman"/>
                <w:i/>
                <w:sz w:val="17"/>
              </w:rPr>
              <w:t xml:space="preserve"> </w:t>
            </w:r>
            <w:r>
              <w:rPr>
                <w:rFonts w:ascii="Symbol" w:hAnsi="Symbol" w:eastAsia="Symbol"/>
                <w:sz w:val="17"/>
              </w:rPr>
              <w:t></w:t>
            </w:r>
            <w:r>
              <w:rPr>
                <w:rFonts w:ascii="Times New Roman" w:hAnsi="Times New Roman" w:eastAsia="Times New Roman"/>
                <w:i/>
                <w:sz w:val="17"/>
              </w:rPr>
              <w:t xml:space="preserve"> b</w:t>
            </w:r>
            <w:r>
              <w:rPr>
                <w:rFonts w:ascii="Times New Roman" w:hAnsi="Times New Roman" w:eastAsia="Times New Roman"/>
                <w:i/>
                <w:sz w:val="23"/>
                <w:vertAlign w:val="subscript"/>
              </w:rPr>
              <w:t>a</w:t>
            </w:r>
          </w:p>
        </w:tc>
        <w:tc>
          <w:tcPr>
            <w:tcW w:w="2540" w:type="dxa"/>
            <w:vAlign w:val="bottom"/>
          </w:tcPr>
          <w:p>
            <w:pPr>
              <w:spacing w:line="0" w:lineRule="atLeast"/>
              <w:jc w:val="right"/>
              <w:rPr>
                <w:rFonts w:ascii="Times New Roman" w:hAnsi="Times New Roman" w:eastAsia="Times New Roman"/>
              </w:rPr>
            </w:pPr>
            <w:r>
              <w:rPr>
                <w:rFonts w:ascii="Times New Roman" w:hAnsi="Times New Roman" w:eastAsia="Times New Roman"/>
              </w:rPr>
              <w:t>(1)</w:t>
            </w:r>
          </w:p>
        </w:tc>
      </w:tr>
    </w:tbl>
    <w:p>
      <w:pPr>
        <w:spacing w:line="213" w:lineRule="auto"/>
        <w:ind w:left="7" w:firstLine="284"/>
        <w:jc w:val="both"/>
        <w:rPr>
          <w:rFonts w:ascii="Times New Roman" w:hAnsi="Times New Roman" w:eastAsia="Times New Roman"/>
        </w:rPr>
      </w:pPr>
      <w:r>
        <w:rPr>
          <w:rFonts w:ascii="Times New Roman" w:hAnsi="Times New Roman" w:eastAsia="Times New Roman"/>
        </w:rPr>
        <w:t>де μ - середній рейтинг по базі; b</w:t>
      </w:r>
      <w:r>
        <w:rPr>
          <w:rFonts w:ascii="Times New Roman" w:hAnsi="Times New Roman" w:eastAsia="Times New Roman"/>
          <w:sz w:val="25"/>
          <w:vertAlign w:val="subscript"/>
        </w:rPr>
        <w:t>i</w:t>
      </w:r>
      <w:r>
        <w:rPr>
          <w:rFonts w:ascii="Times New Roman" w:hAnsi="Times New Roman" w:eastAsia="Times New Roman"/>
        </w:rPr>
        <w:t xml:space="preserve"> - середній рейтинг кожного i-того користувача соціальної мережі; b</w:t>
      </w:r>
      <w:r>
        <w:rPr>
          <w:rFonts w:ascii="Times New Roman" w:hAnsi="Times New Roman" w:eastAsia="Times New Roman"/>
          <w:sz w:val="25"/>
          <w:vertAlign w:val="subscript"/>
        </w:rPr>
        <w:t>a</w:t>
      </w:r>
      <w:r>
        <w:rPr>
          <w:rFonts w:ascii="Times New Roman" w:hAnsi="Times New Roman" w:eastAsia="Times New Roman"/>
        </w:rPr>
        <w:t xml:space="preserve"> - се-редній рейтинг кожного а продукту.</w:t>
      </w:r>
    </w:p>
    <w:p>
      <w:pPr>
        <w:spacing w:line="2" w:lineRule="exact"/>
        <w:rPr>
          <w:rFonts w:ascii="Times New Roman" w:hAnsi="Times New Roman" w:eastAsia="Times New Roman"/>
        </w:rPr>
      </w:pPr>
    </w:p>
    <w:p>
      <w:pPr>
        <w:spacing w:line="227" w:lineRule="auto"/>
        <w:ind w:left="7" w:right="20" w:firstLine="284"/>
        <w:jc w:val="both"/>
        <w:rPr>
          <w:rFonts w:ascii="Times New Roman" w:hAnsi="Times New Roman" w:eastAsia="Times New Roman"/>
        </w:rPr>
      </w:pPr>
      <w:r>
        <w:rPr>
          <w:rFonts w:ascii="Times New Roman" w:hAnsi="Times New Roman" w:eastAsia="Times New Roman"/>
        </w:rPr>
        <w:t>Для визначення тільки базових предикаторів необхідно знайти такі μ, b</w:t>
      </w:r>
      <w:r>
        <w:rPr>
          <w:rFonts w:ascii="Times New Roman" w:hAnsi="Times New Roman" w:eastAsia="Times New Roman"/>
          <w:sz w:val="25"/>
          <w:vertAlign w:val="subscript"/>
        </w:rPr>
        <w:t>i</w:t>
      </w:r>
      <w:r>
        <w:rPr>
          <w:rFonts w:ascii="Times New Roman" w:hAnsi="Times New Roman" w:eastAsia="Times New Roman"/>
        </w:rPr>
        <w:t>, b</w:t>
      </w:r>
      <w:r>
        <w:rPr>
          <w:rFonts w:ascii="Times New Roman" w:hAnsi="Times New Roman" w:eastAsia="Times New Roman"/>
          <w:sz w:val="25"/>
          <w:vertAlign w:val="subscript"/>
        </w:rPr>
        <w:t>a</w:t>
      </w:r>
      <w:r>
        <w:rPr>
          <w:rFonts w:ascii="Times New Roman" w:hAnsi="Times New Roman" w:eastAsia="Times New Roman"/>
        </w:rPr>
        <w:t>, для яких b</w:t>
      </w:r>
      <w:r>
        <w:rPr>
          <w:rFonts w:ascii="Times New Roman" w:hAnsi="Times New Roman" w:eastAsia="Times New Roman"/>
          <w:sz w:val="25"/>
          <w:vertAlign w:val="subscript"/>
        </w:rPr>
        <w:t>i,a</w:t>
      </w:r>
      <w:r>
        <w:rPr>
          <w:rFonts w:ascii="Times New Roman" w:hAnsi="Times New Roman" w:eastAsia="Times New Roman"/>
        </w:rPr>
        <w:t xml:space="preserve"> найкраще наближає наявні рейтинги. Оскільки тепер , коли зроблена поправка на базові предикатори, залишки будуть порівнянні між собою, цілком можливо буде отримати значення для факторів:</w:t>
      </w:r>
    </w:p>
    <w:tbl>
      <w:tblPr>
        <w:tblStyle w:val="3"/>
        <w:tblW w:w="6420" w:type="dxa"/>
        <w:tblInd w:w="3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0"/>
        <w:gridCol w:w="1920"/>
        <w:gridCol w:w="2000"/>
        <w:gridCol w:w="2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trPr>
        <w:tc>
          <w:tcPr>
            <w:tcW w:w="300" w:type="dxa"/>
            <w:vAlign w:val="bottom"/>
          </w:tcPr>
          <w:p>
            <w:pPr>
              <w:spacing w:line="0" w:lineRule="atLeast"/>
              <w:rPr>
                <w:rFonts w:ascii="Times New Roman" w:hAnsi="Times New Roman" w:eastAsia="Times New Roman"/>
                <w:i/>
                <w:sz w:val="19"/>
              </w:rPr>
            </w:pPr>
            <w:r>
              <w:rPr>
                <w:rFonts w:ascii="Times New Roman" w:hAnsi="Times New Roman" w:eastAsia="Times New Roman"/>
                <w:i/>
                <w:sz w:val="19"/>
              </w:rPr>
              <w:t>r</w:t>
            </w:r>
          </w:p>
        </w:tc>
        <w:tc>
          <w:tcPr>
            <w:tcW w:w="1920" w:type="dxa"/>
            <w:vAlign w:val="bottom"/>
          </w:tcPr>
          <w:p>
            <w:pPr>
              <w:spacing w:line="225" w:lineRule="exact"/>
              <w:ind w:left="60"/>
              <w:rPr>
                <w:rFonts w:ascii="Times New Roman" w:hAnsi="Times New Roman" w:eastAsia="Times New Roman"/>
                <w:i/>
                <w:sz w:val="19"/>
              </w:rPr>
            </w:pPr>
            <w:r>
              <w:rPr>
                <w:rFonts w:ascii="Symbol" w:hAnsi="Symbol" w:eastAsia="Symbol"/>
                <w:sz w:val="19"/>
              </w:rPr>
              <w:t>  </w:t>
            </w:r>
            <w:r>
              <w:rPr>
                <w:rFonts w:ascii="Times New Roman" w:hAnsi="Times New Roman" w:eastAsia="Times New Roman"/>
                <w:i/>
                <w:sz w:val="19"/>
              </w:rPr>
              <w:t xml:space="preserve"> b </w:t>
            </w:r>
            <w:r>
              <w:rPr>
                <w:rFonts w:ascii="Symbol" w:hAnsi="Symbol" w:eastAsia="Symbol"/>
                <w:sz w:val="19"/>
              </w:rPr>
              <w:t></w:t>
            </w:r>
            <w:r>
              <w:rPr>
                <w:rFonts w:ascii="Times New Roman" w:hAnsi="Times New Roman" w:eastAsia="Times New Roman"/>
                <w:i/>
                <w:sz w:val="19"/>
              </w:rPr>
              <w:t xml:space="preserve"> b  </w:t>
            </w:r>
            <w:r>
              <w:rPr>
                <w:rFonts w:ascii="Symbol" w:hAnsi="Symbol" w:eastAsia="Symbol"/>
                <w:sz w:val="19"/>
              </w:rPr>
              <w:t></w:t>
            </w:r>
            <w:r>
              <w:rPr>
                <w:rFonts w:ascii="Times New Roman" w:hAnsi="Times New Roman" w:eastAsia="Times New Roman"/>
                <w:i/>
                <w:sz w:val="19"/>
              </w:rPr>
              <w:t xml:space="preserve"> v</w:t>
            </w:r>
            <w:r>
              <w:rPr>
                <w:rFonts w:ascii="Times New Roman" w:hAnsi="Times New Roman" w:eastAsia="Times New Roman"/>
                <w:i/>
                <w:sz w:val="26"/>
                <w:vertAlign w:val="superscript"/>
              </w:rPr>
              <w:t>T</w:t>
            </w:r>
            <w:r>
              <w:rPr>
                <w:rFonts w:ascii="Times New Roman" w:hAnsi="Times New Roman" w:eastAsia="Times New Roman"/>
                <w:i/>
                <w:sz w:val="19"/>
              </w:rPr>
              <w:t xml:space="preserve"> u</w:t>
            </w:r>
          </w:p>
        </w:tc>
        <w:tc>
          <w:tcPr>
            <w:tcW w:w="2000" w:type="dxa"/>
            <w:vMerge w:val="restart"/>
            <w:vAlign w:val="bottom"/>
          </w:tcPr>
          <w:p>
            <w:pPr>
              <w:spacing w:line="0" w:lineRule="atLeast"/>
              <w:rPr>
                <w:rFonts w:ascii="Times New Roman" w:hAnsi="Times New Roman" w:eastAsia="Times New Roman"/>
                <w:i/>
                <w:sz w:val="14"/>
              </w:rPr>
            </w:pPr>
            <w:r>
              <w:rPr>
                <w:rFonts w:ascii="Times New Roman" w:hAnsi="Times New Roman" w:eastAsia="Times New Roman"/>
                <w:i/>
                <w:sz w:val="14"/>
              </w:rPr>
              <w:t>i</w:t>
            </w:r>
          </w:p>
        </w:tc>
        <w:tc>
          <w:tcPr>
            <w:tcW w:w="2200" w:type="dxa"/>
            <w:vMerge w:val="restart"/>
            <w:vAlign w:val="bottom"/>
          </w:tcPr>
          <w:p>
            <w:pPr>
              <w:spacing w:line="0" w:lineRule="atLeast"/>
              <w:jc w:val="right"/>
              <w:rPr>
                <w:rFonts w:ascii="Times New Roman" w:hAnsi="Times New Roman" w:eastAsia="Times New Roman"/>
              </w:rPr>
            </w:pPr>
            <w:r>
              <w:rPr>
                <w:rFonts w:ascii="Times New Roman" w:hAnsi="Times New Roman" w:eastAsia="Times New Roma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2" w:hRule="atLeast"/>
        </w:trPr>
        <w:tc>
          <w:tcPr>
            <w:tcW w:w="300" w:type="dxa"/>
            <w:vAlign w:val="bottom"/>
          </w:tcPr>
          <w:p>
            <w:pPr>
              <w:spacing w:line="122" w:lineRule="exact"/>
              <w:ind w:left="60"/>
              <w:rPr>
                <w:rFonts w:ascii="Times New Roman" w:hAnsi="Times New Roman" w:eastAsia="Times New Roman"/>
                <w:i/>
                <w:sz w:val="14"/>
              </w:rPr>
            </w:pPr>
            <w:r>
              <w:rPr>
                <w:rFonts w:ascii="Times New Roman" w:hAnsi="Times New Roman" w:eastAsia="Times New Roman"/>
                <w:i/>
                <w:sz w:val="14"/>
              </w:rPr>
              <w:t>i ,a</w:t>
            </w:r>
          </w:p>
        </w:tc>
        <w:tc>
          <w:tcPr>
            <w:tcW w:w="1920" w:type="dxa"/>
            <w:vAlign w:val="bottom"/>
          </w:tcPr>
          <w:p>
            <w:pPr>
              <w:spacing w:line="122" w:lineRule="exact"/>
              <w:ind w:left="740"/>
              <w:rPr>
                <w:rFonts w:ascii="Times New Roman" w:hAnsi="Times New Roman" w:eastAsia="Times New Roman"/>
                <w:i/>
                <w:sz w:val="14"/>
              </w:rPr>
            </w:pPr>
            <w:r>
              <w:rPr>
                <w:rFonts w:ascii="Times New Roman" w:hAnsi="Times New Roman" w:eastAsia="Times New Roman"/>
                <w:i/>
                <w:sz w:val="14"/>
              </w:rPr>
              <w:t>iaa</w:t>
            </w:r>
          </w:p>
        </w:tc>
        <w:tc>
          <w:tcPr>
            <w:tcW w:w="2000" w:type="dxa"/>
            <w:vMerge w:val="continue"/>
            <w:vAlign w:val="bottom"/>
          </w:tcPr>
          <w:p>
            <w:pPr>
              <w:spacing w:line="0" w:lineRule="atLeast"/>
              <w:rPr>
                <w:rFonts w:ascii="Times New Roman" w:hAnsi="Times New Roman" w:eastAsia="Times New Roman"/>
                <w:sz w:val="10"/>
              </w:rPr>
            </w:pPr>
          </w:p>
        </w:tc>
        <w:tc>
          <w:tcPr>
            <w:tcW w:w="2200" w:type="dxa"/>
            <w:vMerge w:val="continue"/>
            <w:vAlign w:val="bottom"/>
          </w:tcPr>
          <w:p>
            <w:pPr>
              <w:spacing w:line="0" w:lineRule="atLeast"/>
              <w:rPr>
                <w:rFonts w:ascii="Times New Roman" w:hAnsi="Times New Roman" w:eastAsia="Times New Roman"/>
                <w:sz w:val="10"/>
              </w:rPr>
            </w:pPr>
          </w:p>
        </w:tc>
      </w:tr>
    </w:tbl>
    <w:p>
      <w:pPr>
        <w:spacing w:line="192" w:lineRule="auto"/>
        <w:ind w:left="287"/>
        <w:rPr>
          <w:rFonts w:ascii="Times New Roman" w:hAnsi="Times New Roman" w:eastAsia="Times New Roman"/>
        </w:rPr>
      </w:pPr>
      <w:r>
        <w:rPr>
          <w:rFonts w:ascii="Times New Roman" w:hAnsi="Times New Roman" w:eastAsia="Times New Roman"/>
        </w:rPr>
        <w:t>де v</w:t>
      </w:r>
      <w:r>
        <w:rPr>
          <w:rFonts w:ascii="Times New Roman" w:hAnsi="Times New Roman" w:eastAsia="Times New Roman"/>
          <w:sz w:val="25"/>
          <w:vertAlign w:val="subscript"/>
        </w:rPr>
        <w:t>a</w:t>
      </w:r>
      <w:r>
        <w:rPr>
          <w:rFonts w:ascii="Times New Roman" w:hAnsi="Times New Roman" w:eastAsia="Times New Roman"/>
        </w:rPr>
        <w:t xml:space="preserve"> - вектор факторів, що представляє продукт a; u</w:t>
      </w:r>
      <w:r>
        <w:rPr>
          <w:rFonts w:ascii="Times New Roman" w:hAnsi="Times New Roman" w:eastAsia="Times New Roman"/>
          <w:sz w:val="25"/>
          <w:vertAlign w:val="subscript"/>
        </w:rPr>
        <w:t>i</w:t>
      </w:r>
      <w:r>
        <w:rPr>
          <w:rFonts w:ascii="Times New Roman" w:hAnsi="Times New Roman" w:eastAsia="Times New Roman"/>
        </w:rPr>
        <w:t xml:space="preserve"> - вектор факторів, що представляє користувача i.</w:t>
      </w:r>
    </w:p>
    <w:p>
      <w:pPr>
        <w:spacing w:line="0" w:lineRule="atLeast"/>
        <w:ind w:left="287"/>
        <w:rPr>
          <w:rFonts w:ascii="Times New Roman" w:hAnsi="Times New Roman" w:eastAsia="Times New Roman"/>
        </w:rPr>
      </w:pPr>
      <w:r>
        <w:rPr>
          <w:rFonts w:ascii="Times New Roman" w:hAnsi="Times New Roman" w:eastAsia="Times New Roman"/>
        </w:rPr>
        <w:t>Кращими будуть ті предикатори, які дають мінімальну помилку, яка визначається наступним чином:</w:t>
      </w:r>
    </w:p>
    <w:tbl>
      <w:tblPr>
        <w:tblStyle w:val="3"/>
        <w:tblW w:w="6940" w:type="dxa"/>
        <w:tblInd w:w="24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0"/>
        <w:gridCol w:w="1760"/>
        <w:gridCol w:w="1620"/>
        <w:gridCol w:w="3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3" w:hRule="atLeast"/>
        </w:trPr>
        <w:tc>
          <w:tcPr>
            <w:tcW w:w="400" w:type="dxa"/>
            <w:vAlign w:val="bottom"/>
          </w:tcPr>
          <w:p>
            <w:pPr>
              <w:spacing w:line="0" w:lineRule="atLeast"/>
              <w:rPr>
                <w:rFonts w:ascii="Times New Roman" w:hAnsi="Times New Roman" w:eastAsia="Times New Roman"/>
                <w:i/>
                <w:sz w:val="18"/>
              </w:rPr>
            </w:pPr>
            <w:r>
              <w:rPr>
                <w:rFonts w:ascii="Times New Roman" w:hAnsi="Times New Roman" w:eastAsia="Times New Roman"/>
                <w:i/>
                <w:sz w:val="18"/>
              </w:rPr>
              <w:t>m</w:t>
            </w:r>
          </w:p>
        </w:tc>
        <w:tc>
          <w:tcPr>
            <w:tcW w:w="1760" w:type="dxa"/>
            <w:vAlign w:val="bottom"/>
          </w:tcPr>
          <w:p>
            <w:pPr>
              <w:spacing w:line="293" w:lineRule="exact"/>
              <w:ind w:left="240"/>
              <w:rPr>
                <w:rFonts w:ascii="Symbol" w:hAnsi="Symbol" w:eastAsia="Symbol"/>
                <w:sz w:val="18"/>
              </w:rPr>
            </w:pPr>
            <w:r>
              <w:rPr>
                <w:rFonts w:ascii="Symbol" w:hAnsi="Symbol" w:eastAsia="Symbol"/>
                <w:sz w:val="25"/>
                <w:vertAlign w:val="subscript"/>
              </w:rPr>
              <w:t>  </w:t>
            </w:r>
            <w:r>
              <w:rPr>
                <w:rFonts w:ascii="Times New Roman" w:hAnsi="Times New Roman" w:eastAsia="Times New Roman"/>
                <w:i/>
                <w:sz w:val="18"/>
              </w:rPr>
              <w:t xml:space="preserve">    = </w:t>
            </w:r>
            <w:r>
              <w:rPr>
                <w:rFonts w:ascii="Symbol" w:hAnsi="Symbol" w:eastAsia="Symbol"/>
                <w:sz w:val="18"/>
              </w:rPr>
              <w:t> </w:t>
            </w:r>
          </w:p>
        </w:tc>
        <w:tc>
          <w:tcPr>
            <w:tcW w:w="1620" w:type="dxa"/>
            <w:vAlign w:val="bottom"/>
          </w:tcPr>
          <w:p>
            <w:pPr>
              <w:spacing w:line="293" w:lineRule="exact"/>
              <w:ind w:left="220"/>
              <w:rPr>
                <w:rFonts w:ascii="Symbol" w:hAnsi="Symbol" w:eastAsia="Symbol"/>
                <w:sz w:val="18"/>
              </w:rPr>
            </w:pPr>
            <w:r>
              <w:rPr>
                <w:rFonts w:ascii="Times New Roman" w:hAnsi="Times New Roman" w:eastAsia="Times New Roman"/>
                <w:i/>
                <w:sz w:val="18"/>
              </w:rPr>
              <w:t>-</w:t>
            </w:r>
            <w:r>
              <w:rPr>
                <w:rFonts w:ascii="Symbol" w:hAnsi="Symbol" w:eastAsia="Symbol"/>
                <w:sz w:val="25"/>
                <w:vertAlign w:val="subscript"/>
              </w:rPr>
              <w:t></w:t>
            </w:r>
            <w:r>
              <w:rPr>
                <w:rFonts w:ascii="Symbol" w:hAnsi="Symbol" w:eastAsia="Symbol"/>
                <w:sz w:val="18"/>
              </w:rPr>
              <w:t></w:t>
            </w:r>
            <w:r>
              <w:rPr>
                <w:rFonts w:ascii="Symbol" w:hAnsi="Symbol" w:eastAsia="Symbol"/>
                <w:sz w:val="25"/>
                <w:vertAlign w:val="subscript"/>
              </w:rPr>
              <w:t></w:t>
            </w:r>
            <w:r>
              <w:rPr>
                <w:rFonts w:ascii="Times New Roman" w:hAnsi="Times New Roman" w:eastAsia="Times New Roman"/>
                <w:i/>
                <w:sz w:val="18"/>
              </w:rPr>
              <w:t xml:space="preserve">   </w:t>
            </w:r>
            <w:r>
              <w:rPr>
                <w:rFonts w:ascii="Symbol" w:hAnsi="Symbol" w:eastAsia="Symbol"/>
                <w:sz w:val="18"/>
              </w:rPr>
              <w:t></w:t>
            </w:r>
            <w:r>
              <w:rPr>
                <w:rFonts w:ascii="Times New Roman" w:hAnsi="Times New Roman" w:eastAsia="Times New Roman"/>
                <w:i/>
                <w:sz w:val="18"/>
              </w:rPr>
              <w:t xml:space="preserve">= </w:t>
            </w:r>
            <w:r>
              <w:rPr>
                <w:rFonts w:ascii="Symbol" w:hAnsi="Symbol" w:eastAsia="Symbol"/>
                <w:sz w:val="18"/>
              </w:rPr>
              <w:t></w:t>
            </w:r>
          </w:p>
        </w:tc>
        <w:tc>
          <w:tcPr>
            <w:tcW w:w="3160" w:type="dxa"/>
            <w:vAlign w:val="bottom"/>
          </w:tcPr>
          <w:p>
            <w:pPr>
              <w:spacing w:line="293" w:lineRule="exact"/>
              <w:ind w:right="1156"/>
              <w:jc w:val="right"/>
              <w:rPr>
                <w:rFonts w:ascii="Symbol" w:hAnsi="Symbol" w:eastAsia="Symbol"/>
                <w:sz w:val="18"/>
              </w:rPr>
            </w:pPr>
            <w:r>
              <w:rPr>
                <w:rFonts w:ascii="Times New Roman" w:hAnsi="Times New Roman" w:eastAsia="Times New Roman"/>
                <w:i/>
                <w:sz w:val="18"/>
              </w:rPr>
              <w:t xml:space="preserve">- </w:t>
            </w:r>
            <w:r>
              <w:rPr>
                <w:rFonts w:ascii="Symbol" w:hAnsi="Symbol" w:eastAsia="Symbol"/>
                <w:sz w:val="25"/>
                <w:vertAlign w:val="subscript"/>
              </w:rPr>
              <w:t></w:t>
            </w:r>
            <w:r>
              <w:rPr>
                <w:rFonts w:ascii="Times New Roman" w:hAnsi="Times New Roman" w:eastAsia="Times New Roman"/>
                <w:i/>
                <w:sz w:val="18"/>
              </w:rPr>
              <w:t>m</w:t>
            </w:r>
            <w:r>
              <w:rPr>
                <w:rFonts w:ascii="Symbol" w:hAnsi="Symbol" w:eastAsia="Symbol"/>
                <w:sz w:val="18"/>
              </w:rPr>
              <w:t></w:t>
            </w:r>
            <w:r>
              <w:rPr>
                <w:rFonts w:ascii="Times New Roman" w:hAnsi="Times New Roman" w:eastAsia="Times New Roman"/>
                <w:i/>
                <w:sz w:val="18"/>
              </w:rPr>
              <w:t xml:space="preserve">-    -   </w:t>
            </w:r>
            <w:r>
              <w:rPr>
                <w:rFonts w:ascii="Symbol" w:hAnsi="Symbol" w:eastAsia="Symbol"/>
                <w:sz w:val="25"/>
                <w:vertAlign w:val="subscript"/>
              </w:rPr>
              <w:t></w:t>
            </w:r>
            <w:r>
              <w:rPr>
                <w:rFonts w:ascii="Times New Roman" w:hAnsi="Times New Roman" w:eastAsia="Times New Roman"/>
                <w:i/>
                <w:sz w:val="18"/>
              </w:rPr>
              <w:t xml:space="preserve"> -  </w:t>
            </w:r>
            <w:r>
              <w:rPr>
                <w:rFonts w:ascii="Symbol" w:hAnsi="Symbol" w:eastAsia="Symbol"/>
                <w:sz w:val="25"/>
                <w:vertAlign w:val="subscript"/>
              </w:rPr>
              <w:t></w:t>
            </w:r>
            <w:r>
              <w:rPr>
                <w:rFonts w:ascii="Times New Roman" w:hAnsi="Times New Roman" w:eastAsia="Times New Roman"/>
                <w:i/>
                <w:sz w:val="18"/>
              </w:rPr>
              <w:t xml:space="preserve">   </w:t>
            </w:r>
            <w:r>
              <w:rPr>
                <w:rFonts w:ascii="Symbol" w:hAnsi="Symbol" w:eastAsia="Symbol"/>
                <w:sz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 w:hRule="atLeast"/>
        </w:trPr>
        <w:tc>
          <w:tcPr>
            <w:tcW w:w="400" w:type="dxa"/>
            <w:vAlign w:val="bottom"/>
          </w:tcPr>
          <w:p>
            <w:pPr>
              <w:spacing w:line="0" w:lineRule="atLeast"/>
              <w:rPr>
                <w:rFonts w:ascii="Times New Roman" w:hAnsi="Times New Roman" w:eastAsia="Times New Roman"/>
                <w:sz w:val="12"/>
              </w:rPr>
            </w:pPr>
          </w:p>
        </w:tc>
        <w:tc>
          <w:tcPr>
            <w:tcW w:w="1760" w:type="dxa"/>
            <w:vMerge w:val="restart"/>
            <w:vAlign w:val="bottom"/>
          </w:tcPr>
          <w:p>
            <w:pPr>
              <w:spacing w:line="0" w:lineRule="atLeast"/>
              <w:ind w:left="1180"/>
              <w:rPr>
                <w:rFonts w:ascii="Symbol" w:hAnsi="Symbol" w:eastAsia="Symbol"/>
                <w:sz w:val="13"/>
              </w:rPr>
            </w:pPr>
            <w:r>
              <w:rPr>
                <w:rFonts w:ascii="Symbol" w:hAnsi="Symbol" w:eastAsia="Symbol"/>
                <w:sz w:val="13"/>
              </w:rPr>
              <w:t>  </w:t>
            </w:r>
          </w:p>
        </w:tc>
        <w:tc>
          <w:tcPr>
            <w:tcW w:w="1620" w:type="dxa"/>
            <w:vMerge w:val="restart"/>
            <w:vAlign w:val="bottom"/>
          </w:tcPr>
          <w:p>
            <w:pPr>
              <w:spacing w:line="0" w:lineRule="atLeast"/>
              <w:ind w:left="1180"/>
              <w:rPr>
                <w:rFonts w:ascii="Symbol" w:hAnsi="Symbol" w:eastAsia="Symbol"/>
                <w:sz w:val="13"/>
              </w:rPr>
            </w:pPr>
            <w:r>
              <w:rPr>
                <w:rFonts w:ascii="Symbol" w:hAnsi="Symbol" w:eastAsia="Symbol"/>
                <w:sz w:val="13"/>
              </w:rPr>
              <w:t>  </w:t>
            </w:r>
          </w:p>
        </w:tc>
        <w:tc>
          <w:tcPr>
            <w:tcW w:w="3160" w:type="dxa"/>
            <w:vAlign w:val="bottom"/>
          </w:tcPr>
          <w:p>
            <w:pPr>
              <w:spacing w:line="146" w:lineRule="exact"/>
              <w:jc w:val="right"/>
              <w:rPr>
                <w:rFonts w:ascii="Times New Roman" w:hAnsi="Times New Roman" w:eastAsia="Times New Roman"/>
                <w:sz w:val="15"/>
              </w:rPr>
            </w:pPr>
            <w:r>
              <w:rPr>
                <w:rFonts w:ascii="Times New Roman" w:hAnsi="Times New Roman" w:eastAsia="Times New Roman"/>
                <w:sz w:val="15"/>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 w:hRule="atLeast"/>
        </w:trPr>
        <w:tc>
          <w:tcPr>
            <w:tcW w:w="400" w:type="dxa"/>
            <w:vAlign w:val="bottom"/>
          </w:tcPr>
          <w:p>
            <w:pPr>
              <w:spacing w:line="0" w:lineRule="atLeast"/>
              <w:rPr>
                <w:rFonts w:ascii="Times New Roman" w:hAnsi="Times New Roman" w:eastAsia="Times New Roman"/>
                <w:sz w:val="2"/>
              </w:rPr>
            </w:pPr>
          </w:p>
        </w:tc>
        <w:tc>
          <w:tcPr>
            <w:tcW w:w="1760" w:type="dxa"/>
            <w:vMerge w:val="continue"/>
            <w:vAlign w:val="bottom"/>
          </w:tcPr>
          <w:p>
            <w:pPr>
              <w:spacing w:line="0" w:lineRule="atLeast"/>
              <w:rPr>
                <w:rFonts w:ascii="Times New Roman" w:hAnsi="Times New Roman" w:eastAsia="Times New Roman"/>
                <w:sz w:val="2"/>
              </w:rPr>
            </w:pPr>
          </w:p>
        </w:tc>
        <w:tc>
          <w:tcPr>
            <w:tcW w:w="1620" w:type="dxa"/>
            <w:vMerge w:val="continue"/>
            <w:vAlign w:val="bottom"/>
          </w:tcPr>
          <w:p>
            <w:pPr>
              <w:spacing w:line="0" w:lineRule="atLeast"/>
              <w:rPr>
                <w:rFonts w:ascii="Times New Roman" w:hAnsi="Times New Roman" w:eastAsia="Times New Roman"/>
                <w:sz w:val="2"/>
              </w:rPr>
            </w:pPr>
          </w:p>
        </w:tc>
        <w:tc>
          <w:tcPr>
            <w:tcW w:w="3160" w:type="dxa"/>
            <w:vAlign w:val="bottom"/>
          </w:tcPr>
          <w:p>
            <w:pPr>
              <w:spacing w:line="0" w:lineRule="atLeast"/>
              <w:rPr>
                <w:rFonts w:ascii="Times New Roman" w:hAnsi="Times New Roman" w:eastAsia="Times New Roman"/>
                <w:sz w:val="2"/>
              </w:rPr>
            </w:pPr>
          </w:p>
        </w:tc>
      </w:tr>
    </w:tbl>
    <w:p>
      <w:pPr>
        <w:spacing w:line="54" w:lineRule="exact"/>
        <w:rPr>
          <w:rFonts w:ascii="Times New Roman" w:hAnsi="Times New Roman" w:eastAsia="Times New Roman"/>
        </w:rPr>
      </w:pPr>
    </w:p>
    <w:p>
      <w:pPr>
        <w:spacing w:line="248" w:lineRule="auto"/>
        <w:ind w:left="7" w:firstLine="284"/>
        <w:jc w:val="both"/>
        <w:rPr>
          <w:rFonts w:ascii="Times New Roman" w:hAnsi="Times New Roman" w:eastAsia="Times New Roman"/>
        </w:rPr>
      </w:pPr>
      <w:r>
        <w:rPr>
          <w:rFonts w:ascii="Times New Roman" w:hAnsi="Times New Roman" w:eastAsia="Times New Roman"/>
        </w:rPr>
        <w:t>ВИСНОВКИ. Удосконалено метод формування рекомендацій шляхом додавання засобів аналізу даних про-філів користувачів соціальних мереж, що дозволяє надавати додаткову інформацію користувачам щодо існую-чих на даний момент вакансій. Удосконалена інформаційна технологія системи формування рекомендацій на основі профілів користувачів соціальних мереж шляхом розробки класів та методів класів, що реалізують фун-кціональність формування рекомендацій щодо вакансій.</w:t>
      </w:r>
    </w:p>
    <w:p>
      <w:pPr>
        <w:spacing w:line="192" w:lineRule="exact"/>
        <w:rPr>
          <w:rFonts w:ascii="Times New Roman" w:hAnsi="Times New Roman" w:eastAsia="Times New Roman"/>
        </w:rPr>
      </w:pPr>
    </w:p>
    <w:p>
      <w:pPr>
        <w:spacing w:line="0" w:lineRule="atLeast"/>
        <w:ind w:right="-266"/>
        <w:jc w:val="center"/>
        <w:rPr>
          <w:rFonts w:ascii="Times New Roman" w:hAnsi="Times New Roman" w:eastAsia="Times New Roman"/>
        </w:rPr>
      </w:pPr>
      <w:r>
        <w:rPr>
          <w:rFonts w:ascii="Times New Roman" w:hAnsi="Times New Roman" w:eastAsia="Times New Roman"/>
        </w:rPr>
        <w:t>ЛІТЕРАТУРА</w:t>
      </w:r>
    </w:p>
    <w:p>
      <w:pPr>
        <w:numPr>
          <w:ilvl w:val="0"/>
          <w:numId w:val="1"/>
        </w:numPr>
        <w:tabs>
          <w:tab w:val="left" w:pos="574"/>
        </w:tabs>
        <w:spacing w:line="0" w:lineRule="atLeast"/>
        <w:ind w:left="7" w:right="80" w:firstLine="276"/>
        <w:rPr>
          <w:rFonts w:ascii="Times New Roman" w:hAnsi="Times New Roman" w:eastAsia="Times New Roman"/>
        </w:rPr>
      </w:pPr>
      <w:r>
        <w:rPr>
          <w:rFonts w:ascii="Times New Roman" w:hAnsi="Times New Roman" w:eastAsia="Times New Roman"/>
        </w:rPr>
        <w:t>Гомзин А. Системы рекомендаций: обзор современных подходов / Гомзин А., Коршунов А. – М.: Труды Института системного программирования РАН. – 2012. – 20 c.</w:t>
      </w:r>
    </w:p>
    <w:p>
      <w:pPr>
        <w:numPr>
          <w:ilvl w:val="0"/>
          <w:numId w:val="1"/>
        </w:numPr>
        <w:tabs>
          <w:tab w:val="left" w:pos="567"/>
        </w:tabs>
        <w:spacing w:line="0" w:lineRule="atLeast"/>
        <w:ind w:left="567" w:hanging="284"/>
        <w:rPr>
          <w:rFonts w:ascii="Times New Roman" w:hAnsi="Times New Roman" w:eastAsia="Times New Roman"/>
        </w:rPr>
      </w:pPr>
      <w:r>
        <w:rPr>
          <w:rFonts w:ascii="Times New Roman" w:hAnsi="Times New Roman" w:eastAsia="Times New Roman"/>
        </w:rPr>
        <w:t>Ansari A., Essegaier S., Kohli R. Internet Recommendations Systems // Marketing Research – 2000. – pp. 363–</w:t>
      </w:r>
    </w:p>
    <w:p>
      <w:pPr>
        <w:spacing w:line="1" w:lineRule="exact"/>
        <w:rPr>
          <w:rFonts w:ascii="Times New Roman" w:hAnsi="Times New Roman" w:eastAsia="Times New Roman"/>
        </w:rPr>
      </w:pPr>
    </w:p>
    <w:p>
      <w:pPr>
        <w:spacing w:line="0" w:lineRule="atLeast"/>
        <w:ind w:left="7"/>
        <w:rPr>
          <w:rFonts w:ascii="Times New Roman" w:hAnsi="Times New Roman" w:eastAsia="Times New Roman"/>
        </w:rPr>
      </w:pPr>
      <w:r>
        <w:rPr>
          <w:rFonts w:ascii="Times New Roman" w:hAnsi="Times New Roman" w:eastAsia="Times New Roman"/>
        </w:rPr>
        <w:t>375.</w:t>
      </w:r>
    </w:p>
    <w:p>
      <w:pPr>
        <w:numPr>
          <w:ilvl w:val="0"/>
          <w:numId w:val="1"/>
        </w:numPr>
        <w:tabs>
          <w:tab w:val="left" w:pos="574"/>
        </w:tabs>
        <w:spacing w:line="239" w:lineRule="auto"/>
        <w:ind w:left="7" w:right="300" w:firstLine="276"/>
        <w:jc w:val="both"/>
        <w:rPr>
          <w:rFonts w:ascii="Times New Roman" w:hAnsi="Times New Roman" w:eastAsia="Times New Roman"/>
        </w:rPr>
      </w:pPr>
      <w:r>
        <w:rPr>
          <w:rFonts w:ascii="Times New Roman" w:hAnsi="Times New Roman" w:eastAsia="Times New Roman"/>
        </w:rPr>
        <w:t>Шестухин А.В., Григорьева К.Т. Анализ и комбинирование различных методов рекомендательных си-стем // 21-я Всероссийская межвузовская научно-техническая конференция студентов и аспирантов «Микро-электроника и информатика» : тезисы докладов. – М.: МИЭТ, 2014. – 138 - 142 с.</w:t>
      </w:r>
    </w:p>
    <w:p>
      <w:pPr>
        <w:spacing w:line="1" w:lineRule="exact"/>
        <w:rPr>
          <w:rFonts w:ascii="Times New Roman" w:hAnsi="Times New Roman" w:eastAsia="Times New Roman"/>
        </w:rPr>
      </w:pPr>
    </w:p>
    <w:p>
      <w:pPr>
        <w:numPr>
          <w:ilvl w:val="0"/>
          <w:numId w:val="1"/>
        </w:numPr>
        <w:tabs>
          <w:tab w:val="left" w:pos="567"/>
        </w:tabs>
        <w:spacing w:line="0" w:lineRule="atLeast"/>
        <w:ind w:left="567" w:hanging="284"/>
        <w:rPr>
          <w:rFonts w:ascii="Times New Roman" w:hAnsi="Times New Roman" w:eastAsia="Times New Roman"/>
        </w:rPr>
      </w:pPr>
      <w:r>
        <w:rPr>
          <w:rFonts w:ascii="Times New Roman" w:hAnsi="Times New Roman" w:eastAsia="Times New Roman"/>
        </w:rPr>
        <w:t>Melville P. Recommender systems / Melville P., Sindhwani V. Encyclopedia of Machine Learning. – 2010. –</w:t>
      </w:r>
    </w:p>
    <w:p>
      <w:pPr>
        <w:spacing w:line="0" w:lineRule="atLeast"/>
        <w:ind w:left="7"/>
        <w:rPr>
          <w:rFonts w:ascii="Times New Roman" w:hAnsi="Times New Roman" w:eastAsia="Times New Roman"/>
        </w:rPr>
      </w:pPr>
      <w:r>
        <w:rPr>
          <w:rFonts w:ascii="Times New Roman" w:hAnsi="Times New Roman" w:eastAsia="Times New Roman"/>
        </w:rPr>
        <w:t>332 с.</w:t>
      </w:r>
    </w:p>
    <w:p>
      <w:pPr>
        <w:spacing w:line="200" w:lineRule="exact"/>
        <w:rPr>
          <w:rFonts w:ascii="Times New Roman" w:hAnsi="Times New Roman" w:eastAsia="Times New Roman"/>
        </w:rPr>
      </w:pPr>
    </w:p>
    <w:p>
      <w:pPr>
        <w:spacing w:line="260" w:lineRule="exact"/>
        <w:rPr>
          <w:rFonts w:ascii="Times New Roman" w:hAnsi="Times New Roman" w:eastAsia="Times New Roman"/>
        </w:rPr>
      </w:pPr>
    </w:p>
    <w:p>
      <w:pPr>
        <w:spacing w:line="0" w:lineRule="atLeast"/>
        <w:ind w:left="1400" w:right="80"/>
        <w:jc w:val="center"/>
        <w:rPr>
          <w:rFonts w:ascii="Times New Roman" w:hAnsi="Times New Roman" w:eastAsia="Times New Roman"/>
          <w:b/>
        </w:rPr>
      </w:pPr>
      <w:r>
        <w:rPr>
          <w:rFonts w:ascii="Times New Roman" w:hAnsi="Times New Roman" w:eastAsia="Times New Roman"/>
          <w:b/>
        </w:rPr>
        <w:t>ДОСЛІДЖЕННЯ В БІОЛОГІЧНИХ СИСТЕМАХ МЕХАНІЗМУ АНТИРАДИКАЛЬНИХ ПРОЦЕСІВ ІЗ УЧАСТЮ ГЛУТАТІОНУ</w:t>
      </w:r>
    </w:p>
    <w:p>
      <w:pPr>
        <w:spacing w:line="0" w:lineRule="atLeast"/>
        <w:ind w:left="7"/>
        <w:rPr>
          <w:rFonts w:ascii="Times New Roman" w:hAnsi="Times New Roman" w:eastAsia="Times New Roman"/>
          <w:b/>
        </w:rPr>
      </w:pPr>
      <w:r>
        <w:rPr>
          <w:rFonts w:ascii="Times New Roman" w:hAnsi="Times New Roman" w:eastAsia="Times New Roman"/>
          <w:b/>
        </w:rPr>
        <w:t>Кузнецова Т.Ю.</w:t>
      </w:r>
    </w:p>
    <w:p>
      <w:pPr>
        <w:spacing w:line="0" w:lineRule="atLeast"/>
        <w:ind w:left="7" w:right="3120"/>
        <w:rPr>
          <w:rFonts w:ascii="Times New Roman" w:hAnsi="Times New Roman" w:eastAsia="Times New Roman"/>
        </w:rPr>
      </w:pPr>
      <w:r>
        <w:rPr>
          <w:rFonts w:ascii="Times New Roman" w:hAnsi="Times New Roman" w:eastAsia="Times New Roman"/>
        </w:rPr>
        <w:t>Полтавський національний технічний університет імені Юрія Кондратюка, пр. Першотравневий,24, м.Полтава, 36011, Україна. Е-mail:KZT7@yandex.ru</w:t>
      </w:r>
    </w:p>
    <w:p>
      <w:pPr>
        <w:spacing w:line="0" w:lineRule="atLeast"/>
        <w:ind w:left="7"/>
        <w:rPr>
          <w:rFonts w:ascii="Times New Roman" w:hAnsi="Times New Roman" w:eastAsia="Times New Roman"/>
          <w:b/>
        </w:rPr>
      </w:pPr>
      <w:r>
        <w:rPr>
          <w:rFonts w:ascii="Times New Roman" w:hAnsi="Times New Roman" w:eastAsia="Times New Roman"/>
          <w:b/>
        </w:rPr>
        <w:t>Соловйова Н.В.</w:t>
      </w:r>
    </w:p>
    <w:p>
      <w:pPr>
        <w:spacing w:line="253" w:lineRule="auto"/>
        <w:ind w:left="7" w:right="4820"/>
        <w:rPr>
          <w:rFonts w:ascii="Times New Roman" w:hAnsi="Times New Roman" w:eastAsia="Times New Roman"/>
          <w:sz w:val="19"/>
        </w:rPr>
      </w:pPr>
      <w:r>
        <w:rPr>
          <w:rFonts w:ascii="Times New Roman" w:hAnsi="Times New Roman" w:eastAsia="Times New Roman"/>
          <w:sz w:val="19"/>
        </w:rPr>
        <w:t>ВДНЗУ «Українська медична стоматологічна академія», вул. Шевченка, 23, м. Полтава, 36011, Україна.</w:t>
      </w:r>
    </w:p>
    <w:p>
      <w:pPr>
        <w:spacing w:line="1" w:lineRule="exact"/>
        <w:rPr>
          <w:rFonts w:ascii="Times New Roman" w:hAnsi="Times New Roman" w:eastAsia="Times New Roman"/>
        </w:rPr>
      </w:pPr>
    </w:p>
    <w:p>
      <w:pPr>
        <w:spacing w:line="0" w:lineRule="atLeast"/>
        <w:ind w:left="7"/>
        <w:rPr>
          <w:rFonts w:ascii="Times New Roman" w:hAnsi="Times New Roman" w:eastAsia="Times New Roman"/>
          <w:b/>
        </w:rPr>
      </w:pPr>
      <w:r>
        <w:rPr>
          <w:rFonts w:ascii="Times New Roman" w:hAnsi="Times New Roman" w:eastAsia="Times New Roman"/>
          <w:b/>
        </w:rPr>
        <w:t>Гладкий В.В.</w:t>
      </w:r>
    </w:p>
    <w:p>
      <w:pPr>
        <w:spacing w:line="269" w:lineRule="auto"/>
        <w:ind w:left="7" w:right="3660"/>
        <w:rPr>
          <w:rFonts w:ascii="Times New Roman" w:hAnsi="Times New Roman" w:eastAsia="Times New Roman"/>
        </w:rPr>
      </w:pPr>
      <w:r>
        <w:rPr>
          <w:rFonts w:ascii="Times New Roman" w:hAnsi="Times New Roman" w:eastAsia="Times New Roman"/>
        </w:rPr>
        <w:t>Кременчуцький національний університет імені М. Остроградського, вул. Першотравнева, 20, м.Кременчук, 39600, Україна</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10528" behindDoc="1" locked="0" layoutInCell="1" allowOverlap="1">
            <wp:simplePos x="0" y="0"/>
            <wp:positionH relativeFrom="column">
              <wp:posOffset>-17780</wp:posOffset>
            </wp:positionH>
            <wp:positionV relativeFrom="paragraph">
              <wp:posOffset>50165</wp:posOffset>
            </wp:positionV>
            <wp:extent cx="6158230" cy="8890"/>
            <wp:effectExtent l="0" t="0" r="0" b="0"/>
            <wp:wrapNone/>
            <wp:docPr id="10"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 3"/>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93" w:lineRule="exact"/>
        <w:rPr>
          <w:rFonts w:ascii="Times New Roman" w:hAnsi="Times New Roman" w:eastAsia="Times New Roman"/>
        </w:rPr>
      </w:pPr>
    </w:p>
    <w:p>
      <w:pPr>
        <w:spacing w:line="264" w:lineRule="auto"/>
        <w:ind w:right="13"/>
        <w:jc w:val="center"/>
        <w:rPr>
          <w:rFonts w:ascii="Times New Roman" w:hAnsi="Times New Roman" w:eastAsia="Times New Roman"/>
        </w:rPr>
      </w:pPr>
      <w:r>
        <w:rPr>
          <w:rFonts w:ascii="Times New Roman" w:hAnsi="Times New Roman" w:eastAsia="Times New Roman"/>
        </w:rPr>
        <w:t>ХVII Міжнародна науково-технічна конференція «Фізичні процеси та поля технічних і біологічних об’єктів» 180</w:t>
      </w:r>
    </w:p>
    <w:p>
      <w:pPr>
        <w:spacing w:line="264" w:lineRule="auto"/>
        <w:ind w:right="13"/>
        <w:jc w:val="center"/>
        <w:rPr>
          <w:rFonts w:ascii="Times New Roman" w:hAnsi="Times New Roman" w:eastAsia="Times New Roman"/>
        </w:rPr>
        <w:sectPr>
          <w:pgSz w:w="11900" w:h="16838"/>
          <w:pgMar w:top="545" w:right="767" w:bottom="0" w:left="533" w:header="0" w:footer="0" w:gutter="0"/>
          <w:cols w:space="720" w:num="1"/>
          <w:docGrid w:linePitch="360" w:charSpace="0"/>
        </w:sectPr>
      </w:pPr>
    </w:p>
    <w:p>
      <w:pPr>
        <w:spacing w:line="0" w:lineRule="atLeast"/>
        <w:ind w:right="20"/>
        <w:jc w:val="center"/>
        <w:rPr>
          <w:rFonts w:ascii="Times New Roman" w:hAnsi="Times New Roman" w:eastAsia="Times New Roman"/>
        </w:rPr>
      </w:pPr>
      <w:bookmarkStart w:id="0" w:name="page182"/>
      <w:bookmarkEnd w:id="0"/>
      <w:r>
        <w:rPr>
          <w:rFonts w:ascii="Times New Roman" w:hAnsi="Times New Roman" w:eastAsia="Times New Roman"/>
        </w:rPr>
        <w:t>МОДЕЛЮВАННЯ ЦІЛЬОВИХ ОПЕРАЦІЙ У ТЕХНІЧНИХ</w:t>
      </w:r>
    </w:p>
    <w:p>
      <w:pPr>
        <w:spacing w:line="3" w:lineRule="exact"/>
        <w:rPr>
          <w:rFonts w:ascii="Times New Roman" w:hAnsi="Times New Roman" w:eastAsia="Times New Roman"/>
        </w:rPr>
      </w:pPr>
    </w:p>
    <w:p>
      <w:pPr>
        <w:spacing w:line="0" w:lineRule="atLeast"/>
        <w:jc w:val="center"/>
        <w:rPr>
          <w:rFonts w:ascii="Times New Roman" w:hAnsi="Times New Roman" w:eastAsia="Times New Roman"/>
        </w:rPr>
      </w:pPr>
      <w:r>
        <w:rPr>
          <w:rFonts w:ascii="Times New Roman" w:hAnsi="Times New Roman" w:eastAsia="Times New Roman"/>
        </w:rPr>
        <w:t>І БІОЛОГІЧНИХ СИСТЕМАХ ТА ОБ’ЄКТАХ</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11552" behindDoc="1" locked="0" layoutInCell="1" allowOverlap="1">
            <wp:simplePos x="0" y="0"/>
            <wp:positionH relativeFrom="column">
              <wp:posOffset>-22225</wp:posOffset>
            </wp:positionH>
            <wp:positionV relativeFrom="paragraph">
              <wp:posOffset>24130</wp:posOffset>
            </wp:positionV>
            <wp:extent cx="6158230" cy="8890"/>
            <wp:effectExtent l="0" t="0" r="0" b="0"/>
            <wp:wrapNone/>
            <wp:docPr id="2"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4"/>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86" w:lineRule="exact"/>
        <w:rPr>
          <w:rFonts w:ascii="Times New Roman" w:hAnsi="Times New Roman" w:eastAsia="Times New Roman"/>
        </w:rPr>
      </w:pPr>
    </w:p>
    <w:p>
      <w:pPr>
        <w:spacing w:line="238" w:lineRule="auto"/>
        <w:jc w:val="both"/>
        <w:rPr>
          <w:rFonts w:ascii="Times New Roman" w:hAnsi="Times New Roman" w:eastAsia="Times New Roman"/>
        </w:rPr>
      </w:pPr>
      <w:r>
        <w:rPr>
          <w:rFonts w:ascii="Times New Roman" w:hAnsi="Times New Roman" w:eastAsia="Times New Roman"/>
        </w:rPr>
        <w:t>На основі аналізу результатів квантовохімічного моделювання взаємодії молекули GSH з радикалами кисню •ОН і •ООˉ встановлено, що вона відбувається за кислотно-основним механізмом, причому GSH по відношенню до •ОН виступає як основа, а по відношенню до •ООˉ– як кислота.</w:t>
      </w:r>
    </w:p>
    <w:p>
      <w:pPr>
        <w:spacing w:line="1" w:lineRule="exact"/>
        <w:rPr>
          <w:rFonts w:ascii="Times New Roman" w:hAnsi="Times New Roman" w:eastAsia="Times New Roman"/>
        </w:rPr>
      </w:pPr>
    </w:p>
    <w:p>
      <w:pPr>
        <w:spacing w:line="0" w:lineRule="atLeast"/>
        <w:rPr>
          <w:rFonts w:ascii="Times New Roman" w:hAnsi="Times New Roman" w:eastAsia="Times New Roman"/>
          <w:i/>
        </w:rPr>
      </w:pPr>
      <w:r>
        <w:rPr>
          <w:rFonts w:ascii="Times New Roman" w:hAnsi="Times New Roman" w:eastAsia="Times New Roman"/>
          <w:b/>
        </w:rPr>
        <w:t xml:space="preserve">Ключові слова: </w:t>
      </w:r>
      <w:r>
        <w:rPr>
          <w:rFonts w:ascii="Times New Roman" w:hAnsi="Times New Roman" w:eastAsia="Times New Roman"/>
        </w:rPr>
        <w:t>глутатіон,</w:t>
      </w:r>
      <w:r>
        <w:rPr>
          <w:rFonts w:ascii="Times New Roman" w:hAnsi="Times New Roman" w:eastAsia="Times New Roman"/>
          <w:b/>
        </w:rPr>
        <w:t xml:space="preserve"> </w:t>
      </w:r>
      <w:r>
        <w:rPr>
          <w:rFonts w:ascii="Times New Roman" w:hAnsi="Times New Roman" w:eastAsia="Times New Roman"/>
        </w:rPr>
        <w:t>гідроксил-радикал,</w:t>
      </w:r>
      <w:r>
        <w:rPr>
          <w:rFonts w:ascii="Times New Roman" w:hAnsi="Times New Roman" w:eastAsia="Times New Roman"/>
          <w:b/>
        </w:rPr>
        <w:t xml:space="preserve"> </w:t>
      </w:r>
      <w:r>
        <w:rPr>
          <w:rFonts w:ascii="Times New Roman" w:hAnsi="Times New Roman" w:eastAsia="Times New Roman"/>
        </w:rPr>
        <w:t>супероксид-аніон-радикал,</w:t>
      </w:r>
      <w:r>
        <w:rPr>
          <w:rFonts w:ascii="Times New Roman" w:hAnsi="Times New Roman" w:eastAsia="Times New Roman"/>
          <w:b/>
        </w:rPr>
        <w:t xml:space="preserve"> </w:t>
      </w:r>
      <w:r>
        <w:rPr>
          <w:rFonts w:ascii="Times New Roman" w:hAnsi="Times New Roman" w:eastAsia="Times New Roman"/>
        </w:rPr>
        <w:t>квантовохімічна програма</w:t>
      </w:r>
      <w:r>
        <w:rPr>
          <w:rFonts w:ascii="Times New Roman" w:hAnsi="Times New Roman" w:eastAsia="Times New Roman"/>
          <w:b/>
        </w:rPr>
        <w:t xml:space="preserve"> </w:t>
      </w:r>
      <w:r>
        <w:rPr>
          <w:rFonts w:ascii="Times New Roman" w:hAnsi="Times New Roman" w:eastAsia="Times New Roman"/>
        </w:rPr>
        <w:t>Firefly</w:t>
      </w:r>
      <w:r>
        <w:rPr>
          <w:rFonts w:ascii="Times New Roman" w:hAnsi="Times New Roman" w:eastAsia="Times New Roman"/>
          <w:b/>
        </w:rPr>
        <w:t xml:space="preserve"> </w:t>
      </w:r>
      <w:r>
        <w:rPr>
          <w:rFonts w:ascii="Times New Roman" w:hAnsi="Times New Roman" w:eastAsia="Times New Roman"/>
          <w:i/>
        </w:rPr>
        <w:t>.</w:t>
      </w:r>
    </w:p>
    <w:p>
      <w:pPr>
        <w:spacing w:line="236" w:lineRule="exact"/>
        <w:rPr>
          <w:rFonts w:ascii="Times New Roman" w:hAnsi="Times New Roman" w:eastAsia="Times New Roman"/>
        </w:rPr>
      </w:pPr>
    </w:p>
    <w:p>
      <w:pPr>
        <w:spacing w:line="0" w:lineRule="atLeast"/>
        <w:ind w:left="2960" w:right="860" w:hanging="1836"/>
        <w:rPr>
          <w:rFonts w:ascii="Times New Roman" w:hAnsi="Times New Roman" w:eastAsia="Times New Roman"/>
          <w:b/>
        </w:rPr>
      </w:pPr>
      <w:r>
        <w:rPr>
          <w:rFonts w:ascii="Times New Roman" w:hAnsi="Times New Roman" w:eastAsia="Times New Roman"/>
          <w:b/>
        </w:rPr>
        <w:t>STUDY IN BIOLOGICAL SYSTEMS OF ANTIRADICAL PROCESSES MECHANISM WITH GLUTATIONU PARTICIPATION.</w:t>
      </w:r>
    </w:p>
    <w:p>
      <w:pPr>
        <w:spacing w:line="0" w:lineRule="atLeast"/>
        <w:rPr>
          <w:rFonts w:ascii="Times New Roman" w:hAnsi="Times New Roman" w:eastAsia="Times New Roman"/>
          <w:b/>
        </w:rPr>
      </w:pPr>
      <w:r>
        <w:rPr>
          <w:rFonts w:ascii="Times New Roman" w:hAnsi="Times New Roman" w:eastAsia="Times New Roman"/>
          <w:b/>
        </w:rPr>
        <w:t>Kuznetsova T.</w:t>
      </w:r>
    </w:p>
    <w:p>
      <w:pPr>
        <w:spacing w:line="237" w:lineRule="auto"/>
        <w:rPr>
          <w:rFonts w:ascii="Times New Roman" w:hAnsi="Times New Roman" w:eastAsia="Times New Roman"/>
        </w:rPr>
      </w:pPr>
      <w:r>
        <w:rPr>
          <w:rFonts w:ascii="Times New Roman" w:hAnsi="Times New Roman" w:eastAsia="Times New Roman"/>
        </w:rPr>
        <w:t>Poltava National Technical Yuriy Kondratyuka University</w:t>
      </w:r>
    </w:p>
    <w:p>
      <w:pPr>
        <w:spacing w:line="1"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rPr>
        <w:t>avenue Pershotravnevyi , 24, Poltava, 36011, Ukraine. Е-mail:KZT7@yandex.ru</w:t>
      </w:r>
    </w:p>
    <w:p>
      <w:pPr>
        <w:spacing w:line="1" w:lineRule="exact"/>
        <w:rPr>
          <w:rFonts w:ascii="Times New Roman" w:hAnsi="Times New Roman" w:eastAsia="Times New Roman"/>
        </w:rPr>
      </w:pPr>
    </w:p>
    <w:p>
      <w:pPr>
        <w:spacing w:line="0" w:lineRule="atLeast"/>
        <w:rPr>
          <w:rFonts w:ascii="Times New Roman" w:hAnsi="Times New Roman" w:eastAsia="Times New Roman"/>
          <w:b/>
        </w:rPr>
      </w:pPr>
      <w:r>
        <w:rPr>
          <w:rFonts w:ascii="Times New Roman" w:hAnsi="Times New Roman" w:eastAsia="Times New Roman"/>
          <w:b/>
        </w:rPr>
        <w:t>Solovievа N.</w:t>
      </w:r>
    </w:p>
    <w:p>
      <w:pPr>
        <w:spacing w:line="0" w:lineRule="atLeast"/>
        <w:rPr>
          <w:rFonts w:ascii="Times New Roman" w:hAnsi="Times New Roman" w:eastAsia="Times New Roman"/>
        </w:rPr>
      </w:pPr>
      <w:r>
        <w:rPr>
          <w:rFonts w:ascii="Times New Roman" w:hAnsi="Times New Roman" w:eastAsia="Times New Roman"/>
        </w:rPr>
        <w:t>Ukrayinska medychna stomatologichna akademiya,</w:t>
      </w:r>
    </w:p>
    <w:p>
      <w:pPr>
        <w:spacing w:line="0" w:lineRule="atLeast"/>
        <w:ind w:left="40"/>
        <w:rPr>
          <w:rFonts w:ascii="Times New Roman" w:hAnsi="Times New Roman" w:eastAsia="Times New Roman"/>
        </w:rPr>
      </w:pPr>
      <w:r>
        <w:rPr>
          <w:rFonts w:ascii="Times New Roman" w:hAnsi="Times New Roman" w:eastAsia="Times New Roman"/>
        </w:rPr>
        <w:t>23 Shevchenko Street, Poltava 36024, Ukraine.</w:t>
      </w:r>
    </w:p>
    <w:p>
      <w:pPr>
        <w:spacing w:line="238" w:lineRule="auto"/>
        <w:rPr>
          <w:rFonts w:ascii="Times New Roman" w:hAnsi="Times New Roman" w:eastAsia="Times New Roman"/>
          <w:b/>
        </w:rPr>
      </w:pPr>
      <w:r>
        <w:rPr>
          <w:rFonts w:ascii="Times New Roman" w:hAnsi="Times New Roman" w:eastAsia="Times New Roman"/>
          <w:b/>
        </w:rPr>
        <w:t>Gladkyi V.</w:t>
      </w:r>
    </w:p>
    <w:p>
      <w:pPr>
        <w:spacing w:line="0" w:lineRule="atLeast"/>
        <w:rPr>
          <w:rFonts w:ascii="Times New Roman" w:hAnsi="Times New Roman" w:eastAsia="Times New Roman"/>
        </w:rPr>
      </w:pPr>
      <w:r>
        <w:rPr>
          <w:rFonts w:ascii="Times New Roman" w:hAnsi="Times New Roman" w:eastAsia="Times New Roman"/>
        </w:rPr>
        <w:t>Kremenchuk Mykhailo Ostrohradskyi National University</w:t>
      </w:r>
    </w:p>
    <w:p>
      <w:pPr>
        <w:spacing w:line="1" w:lineRule="exact"/>
        <w:rPr>
          <w:rFonts w:ascii="Times New Roman" w:hAnsi="Times New Roman" w:eastAsia="Times New Roman"/>
        </w:rPr>
      </w:pPr>
    </w:p>
    <w:p>
      <w:pPr>
        <w:spacing w:line="0" w:lineRule="atLeast"/>
        <w:rPr>
          <w:rFonts w:ascii="Times New Roman" w:hAnsi="Times New Roman" w:eastAsia="Times New Roman"/>
        </w:rPr>
      </w:pPr>
      <w:r>
        <w:rPr>
          <w:rFonts w:ascii="Times New Roman" w:hAnsi="Times New Roman" w:eastAsia="Times New Roman"/>
        </w:rPr>
        <w:t>vul. Pershotravneva , 20, 39600, Kremenchuk, Ukraine</w:t>
      </w:r>
    </w:p>
    <w:p>
      <w:pPr>
        <w:spacing w:line="239" w:lineRule="auto"/>
        <w:jc w:val="both"/>
        <w:rPr>
          <w:rFonts w:ascii="Times New Roman" w:hAnsi="Times New Roman" w:eastAsia="Times New Roman"/>
        </w:rPr>
      </w:pPr>
      <w:r>
        <w:rPr>
          <w:rFonts w:ascii="Times New Roman" w:hAnsi="Times New Roman" w:eastAsia="Times New Roman"/>
        </w:rPr>
        <w:t>Following the analysis of the results of quantum chemical simulation of interaction between a GSH molecule and oxy-gen radicals •ОН and •ООˉ, it was found that it takes place through the acid-base mechanism, where GSH acts as a base towards •ОН, and as an acid towards •ООˉ.</w:t>
      </w:r>
    </w:p>
    <w:p>
      <w:pPr>
        <w:spacing w:line="0" w:lineRule="atLeast"/>
        <w:rPr>
          <w:rFonts w:ascii="Times New Roman" w:hAnsi="Times New Roman" w:eastAsia="Times New Roman"/>
        </w:rPr>
      </w:pPr>
      <w:r>
        <w:rPr>
          <w:rFonts w:ascii="Times New Roman" w:hAnsi="Times New Roman" w:eastAsia="Times New Roman"/>
          <w:b/>
        </w:rPr>
        <w:t xml:space="preserve">Key words: </w:t>
      </w:r>
      <w:r>
        <w:rPr>
          <w:rFonts w:ascii="Times New Roman" w:hAnsi="Times New Roman" w:eastAsia="Times New Roman"/>
        </w:rPr>
        <w:t>glutathione, hydroxyl radical, superoxide-anion-radical, quantum chemical program Firefly.</w:t>
      </w:r>
    </w:p>
    <w:p>
      <w:pPr>
        <w:spacing w:line="232" w:lineRule="exact"/>
        <w:rPr>
          <w:rFonts w:ascii="Times New Roman" w:hAnsi="Times New Roman" w:eastAsia="Times New Roman"/>
        </w:rPr>
      </w:pPr>
    </w:p>
    <w:p>
      <w:pPr>
        <w:spacing w:line="0" w:lineRule="atLeast"/>
        <w:ind w:firstLine="284"/>
        <w:jc w:val="both"/>
        <w:rPr>
          <w:rFonts w:ascii="Times New Roman" w:hAnsi="Times New Roman" w:eastAsia="Times New Roman"/>
        </w:rPr>
      </w:pPr>
      <w:r>
        <w:rPr>
          <w:rFonts w:ascii="Times New Roman" w:hAnsi="Times New Roman" w:eastAsia="Times New Roman"/>
        </w:rPr>
        <w:t>АКТУАЛЬНІСТЬ РОБОТИ. Для зменшення негативного впливу вільних радикалів кисню на живий організм останнім часом у практичній медицині широко застосовуються ендогенні антиоксиданти у зв’язку з їх участю в системі захисту організму людини від агресивної дії вільних радикалів, наприклад, [1]. Відсутність систематич-них досліджень, особливо на молекулярному рівні, антирадикальної активності різних антиоксидантів при їх взаємодії з вільними радикалами в біологічних системах зумовлює не тільки наявність суперечливих оцінок в інтерпретації результатів експериментальних закономірностей [2-4], але й створює труднощі у розвитку загаль-них уявлень відносно механізму взаємодії антиоксидантів із вільними радикалами та цілеспрямованого підходу до керування цими процесами, які мають практичне застосування у медицині.</w:t>
      </w:r>
    </w:p>
    <w:p>
      <w:pPr>
        <w:spacing w:line="1" w:lineRule="exact"/>
        <w:rPr>
          <w:rFonts w:ascii="Times New Roman" w:hAnsi="Times New Roman" w:eastAsia="Times New Roman"/>
        </w:rPr>
      </w:pPr>
    </w:p>
    <w:p>
      <w:pPr>
        <w:spacing w:line="0" w:lineRule="atLeast"/>
        <w:ind w:firstLine="284"/>
        <w:jc w:val="both"/>
        <w:rPr>
          <w:rFonts w:ascii="Times New Roman" w:hAnsi="Times New Roman" w:eastAsia="Times New Roman"/>
        </w:rPr>
      </w:pPr>
      <w:r>
        <w:rPr>
          <w:rFonts w:ascii="Times New Roman" w:hAnsi="Times New Roman" w:eastAsia="Times New Roman"/>
        </w:rPr>
        <w:t>Взаємодія антиоксидантів із вільними радикалами обумовлена впливом великої кількості різноманітних вза-ємопов'язаних кінетичних процесів, стабілізація яких навіть в умовах експерименту є досить проблематичною. Тому представляється актуальним вивчення ефективності дії ендогенних антиоксидантів шляхом моделювання механізму їх взаємодії із вільними радикалами методами квантової хімії в поєднанні з експериментальними ме-тодами, зокрема, електрохімічним , що, дає можливість не тільки отримати обґрунтування позитивного ефекту використання антиоксидантів, але й встановити потенційну значущість цих речовин як лікарських засобів.</w:t>
      </w:r>
    </w:p>
    <w:p>
      <w:pPr>
        <w:spacing w:line="239" w:lineRule="auto"/>
        <w:ind w:firstLine="284"/>
        <w:jc w:val="both"/>
        <w:rPr>
          <w:rFonts w:ascii="Times New Roman" w:hAnsi="Times New Roman" w:eastAsia="Times New Roman"/>
        </w:rPr>
      </w:pPr>
      <w:r>
        <w:rPr>
          <w:rFonts w:ascii="Times New Roman" w:hAnsi="Times New Roman" w:eastAsia="Times New Roman"/>
        </w:rPr>
        <w:t>Метою роботи було дослідження антирадикальних властивостей ендогенного антиоксиданту глутатіону (GSH) шляхом моделювання механізму його взаємодії із вільними радикалами (гідроксил-радикалом (</w:t>
      </w:r>
      <w:r>
        <w:rPr>
          <w:rFonts w:ascii="Times New Roman" w:hAnsi="Times New Roman" w:eastAsia="Times New Roman"/>
          <w:b/>
        </w:rPr>
        <w:t>•</w:t>
      </w:r>
      <w:r>
        <w:rPr>
          <w:rFonts w:ascii="Times New Roman" w:hAnsi="Times New Roman" w:eastAsia="Times New Roman"/>
        </w:rPr>
        <w:t>ОН) і супероксид-аніон-радикалом (</w:t>
      </w:r>
      <w:r>
        <w:rPr>
          <w:rFonts w:ascii="Times New Roman" w:hAnsi="Times New Roman" w:eastAsia="Times New Roman"/>
          <w:b/>
        </w:rPr>
        <w:t>•</w:t>
      </w:r>
      <w:r>
        <w:rPr>
          <w:rFonts w:ascii="Times New Roman" w:hAnsi="Times New Roman" w:eastAsia="Times New Roman"/>
        </w:rPr>
        <w:t>ООˉ).</w:t>
      </w:r>
    </w:p>
    <w:p>
      <w:pPr>
        <w:spacing w:line="2" w:lineRule="exact"/>
        <w:rPr>
          <w:rFonts w:ascii="Times New Roman" w:hAnsi="Times New Roman" w:eastAsia="Times New Roman"/>
        </w:rPr>
      </w:pPr>
    </w:p>
    <w:p>
      <w:pPr>
        <w:spacing w:line="0" w:lineRule="atLeast"/>
        <w:ind w:firstLine="284"/>
        <w:jc w:val="both"/>
        <w:rPr>
          <w:rFonts w:ascii="Times New Roman" w:hAnsi="Times New Roman" w:eastAsia="Times New Roman"/>
        </w:rPr>
      </w:pPr>
      <w:r>
        <w:rPr>
          <w:rFonts w:ascii="Times New Roman" w:hAnsi="Times New Roman" w:eastAsia="Times New Roman"/>
        </w:rPr>
        <w:t>МАТЕРІАЛИ І РЕЗУЛЬТАТИ ДОСЛІДЖЕНЬ. В організмі людини існує неферментативна антиоксидантна система захисту клітин від шкідливої дії вільних радикалів, в якості складових якої виступають різні за власти-востями з’єднання. Одним із таких з’єднань, що синтезуються в кожній клітині організму є глутатіон [5], але антирадикальний механізм його взаємодії із активними формами кисню на мікроскопічному рівні на теперішній час не досліджений, за винятком окремих результатів макроскопічних медичних [6] та електрохімічних дослі-джень [7], які на жаль носять феноменологічний характер і не дають цілеспрямованого підходу до управління такими процесами.</w:t>
      </w:r>
    </w:p>
    <w:p>
      <w:pPr>
        <w:spacing w:line="1" w:lineRule="exact"/>
        <w:rPr>
          <w:rFonts w:ascii="Times New Roman" w:hAnsi="Times New Roman" w:eastAsia="Times New Roman"/>
        </w:rPr>
      </w:pPr>
    </w:p>
    <w:p>
      <w:pPr>
        <w:spacing w:line="239" w:lineRule="auto"/>
        <w:ind w:firstLine="284"/>
        <w:jc w:val="both"/>
        <w:rPr>
          <w:rFonts w:ascii="Times New Roman" w:hAnsi="Times New Roman" w:eastAsia="Times New Roman"/>
        </w:rPr>
      </w:pPr>
      <w:r>
        <w:rPr>
          <w:rFonts w:ascii="Times New Roman" w:hAnsi="Times New Roman" w:eastAsia="Times New Roman"/>
        </w:rPr>
        <w:t xml:space="preserve">Одною із ключових активних форм кисню є супероксид-аніон-радикал, що утворюється при приєднанні од-ного електрона до молекули кисню в основному стані, і може бути джерелом утворення в організмі людини гідроксил-радикала, який є самим сильним окисником серед вільних радикалів кисню, тому </w:t>
      </w:r>
      <w:r>
        <w:rPr>
          <w:rFonts w:ascii="Times New Roman" w:hAnsi="Times New Roman" w:eastAsia="Times New Roman"/>
          <w:b/>
        </w:rPr>
        <w:t>•</w:t>
      </w:r>
      <w:r>
        <w:rPr>
          <w:rFonts w:ascii="Times New Roman" w:hAnsi="Times New Roman" w:eastAsia="Times New Roman"/>
        </w:rPr>
        <w:t xml:space="preserve">ОН і </w:t>
      </w:r>
      <w:r>
        <w:rPr>
          <w:rFonts w:ascii="Times New Roman" w:hAnsi="Times New Roman" w:eastAsia="Times New Roman"/>
          <w:b/>
        </w:rPr>
        <w:t>•</w:t>
      </w:r>
      <w:r>
        <w:rPr>
          <w:rFonts w:ascii="Times New Roman" w:hAnsi="Times New Roman" w:eastAsia="Times New Roman"/>
        </w:rPr>
        <w:t>ОО</w:t>
      </w:r>
      <w:r>
        <w:rPr>
          <w:rFonts w:ascii="Times New Roman" w:hAnsi="Times New Roman" w:eastAsia="Times New Roman"/>
          <w:b/>
        </w:rPr>
        <w:t>ˉ</w:t>
      </w:r>
      <w:r>
        <w:rPr>
          <w:rFonts w:ascii="Times New Roman" w:hAnsi="Times New Roman" w:eastAsia="Times New Roman"/>
        </w:rPr>
        <w:t xml:space="preserve"> можуть існувати одночасно і бути використані для дослідження їх взаємодії із глутатіоном для моделювання його анти-радикальної активності. Вищесказане зумовило вибір об’єктів дослідження.</w:t>
      </w:r>
    </w:p>
    <w:p>
      <w:pPr>
        <w:spacing w:line="5" w:lineRule="exact"/>
        <w:rPr>
          <w:rFonts w:ascii="Times New Roman" w:hAnsi="Times New Roman" w:eastAsia="Times New Roman"/>
        </w:rPr>
      </w:pPr>
    </w:p>
    <w:p>
      <w:pPr>
        <w:spacing w:line="0" w:lineRule="atLeast"/>
        <w:ind w:right="20" w:firstLine="284"/>
        <w:jc w:val="both"/>
        <w:rPr>
          <w:rFonts w:ascii="Times New Roman" w:hAnsi="Times New Roman" w:eastAsia="Times New Roman"/>
        </w:rPr>
      </w:pPr>
      <w:r>
        <w:rPr>
          <w:rFonts w:ascii="Times New Roman" w:hAnsi="Times New Roman" w:eastAsia="Times New Roman"/>
        </w:rPr>
        <w:t>Теоретичне вивчення механізму взаємодії глутатіону з гідроксил-радикалом і супероксид-аніон-радикалом виконувалося за допомогою програмного модуля GAMESS (версія від 27 березня 20007року) та програмного модуля Firefly 8 найсучаснішим неемпіричним квантовохімічним методом в базисі 6-31G** [8].</w:t>
      </w:r>
    </w:p>
    <w:p>
      <w:pPr>
        <w:spacing w:line="1" w:lineRule="exact"/>
        <w:rPr>
          <w:rFonts w:ascii="Times New Roman" w:hAnsi="Times New Roman" w:eastAsia="Times New Roman"/>
        </w:rPr>
      </w:pPr>
    </w:p>
    <w:p>
      <w:pPr>
        <w:numPr>
          <w:ilvl w:val="0"/>
          <w:numId w:val="1"/>
        </w:numPr>
        <w:tabs>
          <w:tab w:val="left" w:pos="487"/>
        </w:tabs>
        <w:spacing w:line="0" w:lineRule="atLeast"/>
        <w:ind w:right="20" w:firstLine="276"/>
        <w:jc w:val="both"/>
        <w:rPr>
          <w:rFonts w:ascii="Times New Roman" w:hAnsi="Times New Roman" w:eastAsia="Times New Roman"/>
        </w:rPr>
      </w:pPr>
      <w:r>
        <w:rPr>
          <w:rFonts w:ascii="Times New Roman" w:hAnsi="Times New Roman" w:eastAsia="Times New Roman"/>
        </w:rPr>
        <w:t>попередній роботі нами було проведено детальне сканування поверхні повної енергії взаємодії в околі «місць атаки» молекули GSH шляхом розрахунку перехідного стану реакції взаємодії, із визначенням енергії активації, для кожного з «напрямків атаки» (рис. 1) при зміні кута між відповідними міжатомними зв'язками молекули глутатіону і радикалами та відповідних відстаней між атомами реагентів, яке засвідчило наявність для молекули глутатіону 17 мінімумів повної енергії, включаючи глобальний [9].</w:t>
      </w:r>
    </w:p>
    <w:p>
      <w:pPr>
        <w:spacing w:line="0" w:lineRule="atLeast"/>
        <w:ind w:left="280"/>
        <w:rPr>
          <w:rFonts w:ascii="Times New Roman" w:hAnsi="Times New Roman" w:eastAsia="Times New Roman"/>
        </w:rPr>
      </w:pPr>
      <w:r>
        <w:rPr>
          <w:rFonts w:ascii="Times New Roman" w:hAnsi="Times New Roman" w:eastAsia="Times New Roman"/>
        </w:rPr>
        <w:t>Аналіз взаємодії атому водню Н(23) (у глобальному мінімумі потенціальної енергії) молекули GSH із одним</w:t>
      </w:r>
    </w:p>
    <w:p>
      <w:pPr>
        <w:spacing w:line="233" w:lineRule="auto"/>
        <w:jc w:val="both"/>
        <w:rPr>
          <w:rFonts w:ascii="Times New Roman" w:hAnsi="Times New Roman" w:eastAsia="Times New Roman"/>
        </w:rPr>
      </w:pPr>
      <w:r>
        <w:rPr>
          <w:rFonts w:ascii="Times New Roman" w:hAnsi="Times New Roman" w:eastAsia="Times New Roman"/>
        </w:rPr>
        <w:t>•ООˉ показав, що відбувається перерозподіл заряду величиною в 0,702е із •ОО</w:t>
      </w:r>
      <w:r>
        <w:rPr>
          <w:rFonts w:ascii="Times New Roman" w:hAnsi="Times New Roman" w:eastAsia="Times New Roman"/>
          <w:sz w:val="25"/>
          <w:vertAlign w:val="superscript"/>
        </w:rPr>
        <w:t>–</w:t>
      </w:r>
      <w:r>
        <w:rPr>
          <w:rFonts w:ascii="Times New Roman" w:hAnsi="Times New Roman" w:eastAsia="Times New Roman"/>
        </w:rPr>
        <w:t xml:space="preserve"> на молекулу глутатіону, елект-ронна густина від вільного радикала переходить на молекулу GSH указуючи тим самим на можливість ефекти-вної взаємодії між •ООˉ та молекулою глутатіону з утворенням стабільних комплексів (рис. 1) і відбувається інакше, ніж при взаємодії з •ОН (рис. 2).</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12576" behindDoc="1" locked="0" layoutInCell="1" allowOverlap="1">
            <wp:simplePos x="0" y="0"/>
            <wp:positionH relativeFrom="column">
              <wp:posOffset>-22225</wp:posOffset>
            </wp:positionH>
            <wp:positionV relativeFrom="paragraph">
              <wp:posOffset>79375</wp:posOffset>
            </wp:positionV>
            <wp:extent cx="6158230" cy="8890"/>
            <wp:effectExtent l="0" t="0" r="0" b="0"/>
            <wp:wrapNone/>
            <wp:docPr id="3"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5"/>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r>
        <w:rPr>
          <w:rFonts w:ascii="Times New Roman" w:hAnsi="Times New Roman" w:eastAsia="Times New Roman"/>
        </w:rPr>
        <mc:AlternateContent>
          <mc:Choice Requires="wps">
            <w:drawing>
              <wp:anchor distT="0" distB="0" distL="114300" distR="114300" simplePos="0" relativeHeight="252313600" behindDoc="1" locked="0" layoutInCell="1" allowOverlap="1">
                <wp:simplePos x="0" y="0"/>
                <wp:positionH relativeFrom="column">
                  <wp:posOffset>5743575</wp:posOffset>
                </wp:positionH>
                <wp:positionV relativeFrom="paragraph">
                  <wp:posOffset>-457835</wp:posOffset>
                </wp:positionV>
                <wp:extent cx="36195" cy="0"/>
                <wp:effectExtent l="0" t="0" r="0" b="0"/>
                <wp:wrapNone/>
                <wp:docPr id="9" name="Прямое соединение 9"/>
                <wp:cNvGraphicFramePr/>
                <a:graphic xmlns:a="http://schemas.openxmlformats.org/drawingml/2006/main">
                  <a:graphicData uri="http://schemas.microsoft.com/office/word/2010/wordprocessingShape">
                    <wps:wsp>
                      <wps:cNvSpPr/>
                      <wps:spPr>
                        <a:xfrm>
                          <a:off x="0" y="0"/>
                          <a:ext cx="3619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2.25pt;margin-top:-36.05pt;height:0pt;width:2.85pt;z-index:-251002880;mso-width-relative:page;mso-height-relative:page;" filled="f" stroked="t" coordsize="21600,21600" o:gfxdata="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0yA19kA&#10;AAALAQAADwAAAAAAAAABACAAAAAiAAAAZHJzL2Rvd25yZXYueG1sUEsBAhQAFAAAAAgAh07iQC8q&#10;Ry7lAQAApgMAAA4AAAAAAAAAAQAgAAAAKAEAAGRycy9lMm9Eb2MueG1sUEsFBgAAAAAGAAYAWQEA&#10;AH8FAAAAAA==&#10;">
                <v:fill on="f" focussize="0,0"/>
                <v:stroke weight="0.48pt" color="#000000" joinstyle="round"/>
                <v:imagedata o:title=""/>
                <o:lock v:ext="edit" aspectratio="f"/>
              </v:line>
            </w:pict>
          </mc:Fallback>
        </mc:AlternateContent>
      </w:r>
      <w:r>
        <w:rPr>
          <w:rFonts w:ascii="Times New Roman" w:hAnsi="Times New Roman" w:eastAsia="Times New Roman"/>
        </w:rPr>
        <mc:AlternateContent>
          <mc:Choice Requires="wps">
            <w:drawing>
              <wp:anchor distT="0" distB="0" distL="114300" distR="114300" simplePos="0" relativeHeight="252314624" behindDoc="1" locked="0" layoutInCell="1" allowOverlap="1">
                <wp:simplePos x="0" y="0"/>
                <wp:positionH relativeFrom="column">
                  <wp:posOffset>1730375</wp:posOffset>
                </wp:positionH>
                <wp:positionV relativeFrom="paragraph">
                  <wp:posOffset>-20955</wp:posOffset>
                </wp:positionV>
                <wp:extent cx="31750" cy="0"/>
                <wp:effectExtent l="0" t="0" r="0" b="0"/>
                <wp:wrapNone/>
                <wp:docPr id="1" name="Прямое соединение 1"/>
                <wp:cNvGraphicFramePr/>
                <a:graphic xmlns:a="http://schemas.openxmlformats.org/drawingml/2006/main">
                  <a:graphicData uri="http://schemas.microsoft.com/office/word/2010/wordprocessingShape">
                    <wps:wsp>
                      <wps:cNvSpPr/>
                      <wps:spPr>
                        <a:xfrm>
                          <a:off x="0" y="0"/>
                          <a:ext cx="31750" cy="0"/>
                        </a:xfrm>
                        <a:prstGeom prst="line">
                          <a:avLst/>
                        </a:prstGeom>
                        <a:ln w="609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6.25pt;margin-top:-1.65pt;height:0pt;width:2.5pt;z-index:-251001856;mso-width-relative:page;mso-height-relative:page;" filled="f" stroked="t" coordsize="21600,21600" o:gfxdata="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CYD0DUAAAACQEA&#10;AA8AAAAAAAAAAQAgAAAAIgAAAGRycy9kb3ducmV2LnhtbFBLAQIUABQAAAAIAIdO4kCl4g+i5QEA&#10;AKYDAAAOAAAAAAAAAAEAIAAAACMBAABkcnMvZTJvRG9jLnhtbFBLBQYAAAAABgAGAFkBAAB6BQAA&#10;AAA=&#10;">
                <v:fill on="f" focussize="0,0"/>
                <v:stroke weight="0.47992125984252pt" color="#000000" joinstyle="round"/>
                <v:imagedata o:title=""/>
                <o:lock v:ext="edit" aspectratio="f"/>
              </v:line>
            </w:pict>
          </mc:Fallback>
        </mc:AlternateContent>
      </w:r>
    </w:p>
    <w:p>
      <w:pPr>
        <w:spacing w:line="140" w:lineRule="exact"/>
        <w:rPr>
          <w:rFonts w:ascii="Times New Roman" w:hAnsi="Times New Roman" w:eastAsia="Times New Roman"/>
        </w:rPr>
      </w:pPr>
    </w:p>
    <w:p>
      <w:pPr>
        <w:spacing w:line="264" w:lineRule="auto"/>
        <w:ind w:right="20"/>
        <w:jc w:val="center"/>
        <w:rPr>
          <w:rFonts w:ascii="Times New Roman" w:hAnsi="Times New Roman" w:eastAsia="Times New Roman"/>
        </w:rPr>
      </w:pPr>
      <w:r>
        <w:rPr>
          <w:rFonts w:ascii="Times New Roman" w:hAnsi="Times New Roman" w:eastAsia="Times New Roman"/>
        </w:rPr>
        <w:t>ХVII Міжнародна науково-технічна конференція «Фізичні процеси та поля технічних і біологічних об’єктів» 181</w:t>
      </w:r>
    </w:p>
    <w:p>
      <w:pPr>
        <w:spacing w:line="264" w:lineRule="auto"/>
        <w:ind w:right="20"/>
        <w:jc w:val="center"/>
        <w:rPr>
          <w:rFonts w:ascii="Times New Roman" w:hAnsi="Times New Roman" w:eastAsia="Times New Roman"/>
        </w:rPr>
        <w:sectPr>
          <w:pgSz w:w="11900" w:h="16838"/>
          <w:pgMar w:top="545" w:right="1126" w:bottom="0" w:left="1140" w:header="0" w:footer="0" w:gutter="0"/>
          <w:cols w:space="720" w:num="1"/>
          <w:docGrid w:linePitch="360" w:charSpace="0"/>
        </w:sectPr>
      </w:pPr>
    </w:p>
    <w:p>
      <w:pPr>
        <w:spacing w:line="0" w:lineRule="atLeast"/>
        <w:ind w:right="13"/>
        <w:jc w:val="center"/>
        <w:rPr>
          <w:rFonts w:ascii="Times New Roman" w:hAnsi="Times New Roman" w:eastAsia="Times New Roman"/>
        </w:rPr>
      </w:pPr>
      <w:bookmarkStart w:id="1" w:name="page183"/>
      <w:bookmarkEnd w:id="1"/>
      <w:r>
        <w:rPr>
          <w:rFonts w:ascii="Times New Roman" w:hAnsi="Times New Roman" w:eastAsia="Times New Roman"/>
        </w:rPr>
        <w:t>МОДЕЛЮВАННЯ ЦІЛЬОВИХ ОПЕРАЦІЙ У ТЕХНІЧНИХ</w:t>
      </w:r>
    </w:p>
    <w:p>
      <w:pPr>
        <w:spacing w:line="3" w:lineRule="exact"/>
        <w:rPr>
          <w:rFonts w:ascii="Times New Roman" w:hAnsi="Times New Roman" w:eastAsia="Times New Roman"/>
        </w:rPr>
      </w:pPr>
    </w:p>
    <w:p>
      <w:pPr>
        <w:spacing w:line="0" w:lineRule="atLeast"/>
        <w:ind w:right="13"/>
        <w:jc w:val="center"/>
        <w:rPr>
          <w:rFonts w:ascii="Times New Roman" w:hAnsi="Times New Roman" w:eastAsia="Times New Roman"/>
        </w:rPr>
      </w:pPr>
      <w:r>
        <w:rPr>
          <w:rFonts w:ascii="Times New Roman" w:hAnsi="Times New Roman" w:eastAsia="Times New Roman"/>
        </w:rPr>
        <w:t>І БІОЛОГІЧНИХ СИСТЕМАХ ТА ОБ’ЄКТАХ</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15648" behindDoc="1" locked="0" layoutInCell="1" allowOverlap="1">
            <wp:simplePos x="0" y="0"/>
            <wp:positionH relativeFrom="column">
              <wp:posOffset>-17780</wp:posOffset>
            </wp:positionH>
            <wp:positionV relativeFrom="paragraph">
              <wp:posOffset>24130</wp:posOffset>
            </wp:positionV>
            <wp:extent cx="6158230" cy="8890"/>
            <wp:effectExtent l="0" t="0" r="0" b="0"/>
            <wp:wrapNone/>
            <wp:docPr id="11" name="Изображение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 8"/>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200" w:lineRule="exact"/>
        <w:rPr>
          <w:rFonts w:ascii="Times New Roman" w:hAnsi="Times New Roman" w:eastAsia="Times New Roman"/>
        </w:rPr>
      </w:pPr>
      <w:r>
        <w:drawing>
          <wp:anchor distT="0" distB="0" distL="114300" distR="114300" simplePos="0" relativeHeight="252320768" behindDoc="0" locked="0" layoutInCell="1" allowOverlap="1">
            <wp:simplePos x="0" y="0"/>
            <wp:positionH relativeFrom="column">
              <wp:posOffset>-74295</wp:posOffset>
            </wp:positionH>
            <wp:positionV relativeFrom="paragraph">
              <wp:posOffset>66040</wp:posOffset>
            </wp:positionV>
            <wp:extent cx="3058160" cy="3115310"/>
            <wp:effectExtent l="0" t="0" r="8890" b="8890"/>
            <wp:wrapSquare wrapText="bothSides"/>
            <wp:docPr id="1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 1"/>
                    <pic:cNvPicPr>
                      <a:picLocks noChangeAspect="1"/>
                    </pic:cNvPicPr>
                  </pic:nvPicPr>
                  <pic:blipFill>
                    <a:blip r:embed="rId5"/>
                    <a:stretch>
                      <a:fillRect/>
                    </a:stretch>
                  </pic:blipFill>
                  <pic:spPr>
                    <a:xfrm>
                      <a:off x="0" y="0"/>
                      <a:ext cx="3058160" cy="3115310"/>
                    </a:xfrm>
                    <a:prstGeom prst="rect">
                      <a:avLst/>
                    </a:prstGeom>
                    <a:noFill/>
                    <a:ln w="9525">
                      <a:noFill/>
                    </a:ln>
                  </pic:spPr>
                </pic:pic>
              </a:graphicData>
            </a:graphic>
          </wp:anchor>
        </w:drawing>
      </w:r>
    </w:p>
    <w:p>
      <w:pPr>
        <w:spacing w:line="200" w:lineRule="exact"/>
        <w:rPr>
          <w:rFonts w:ascii="Times New Roman" w:hAnsi="Times New Roman" w:eastAsia="Times New Roman"/>
        </w:rPr>
      </w:pPr>
    </w:p>
    <w:p>
      <w:pPr>
        <w:spacing w:line="239" w:lineRule="auto"/>
        <w:ind w:left="80" w:firstLine="283"/>
        <w:jc w:val="both"/>
        <w:rPr>
          <w:rFonts w:ascii="Times New Roman" w:hAnsi="Times New Roman" w:eastAsia="Times New Roman"/>
        </w:rPr>
      </w:pPr>
      <w:r>
        <w:rPr>
          <w:rFonts w:ascii="Times New Roman" w:hAnsi="Times New Roman" w:eastAsia="Times New Roman"/>
        </w:rPr>
        <w:t xml:space="preserve">Тобто при взаємодії атому водню Н(23) молекули GSH з </w:t>
      </w:r>
      <w:r>
        <w:rPr>
          <w:rFonts w:ascii="Times New Roman" w:hAnsi="Times New Roman" w:eastAsia="Times New Roman"/>
          <w:b/>
        </w:rPr>
        <w:t>•</w:t>
      </w:r>
      <w:r>
        <w:rPr>
          <w:rFonts w:ascii="Times New Roman" w:hAnsi="Times New Roman" w:eastAsia="Times New Roman"/>
        </w:rPr>
        <w:t xml:space="preserve">ОН зростання електрон-ної густини на атомі кисню гідроксил-радикала становить близько 0,208е, вна-слідок чого збільшується довжина зв’язку S(22) – Н(23) в молекулі глутатіону з 0,132 до 0,317 нм, що також вказує на можли-вість відриву цього атома водню від моле-кули GSH і приєднання його до </w:t>
      </w:r>
      <w:r>
        <w:rPr>
          <w:rFonts w:ascii="Times New Roman" w:hAnsi="Times New Roman" w:eastAsia="Times New Roman"/>
          <w:b/>
        </w:rPr>
        <w:t>•</w:t>
      </w:r>
      <w:r>
        <w:rPr>
          <w:rFonts w:ascii="Times New Roman" w:hAnsi="Times New Roman" w:eastAsia="Times New Roman"/>
        </w:rPr>
        <w:t>ОН з утворенням молекули води (рис. 2).</w:t>
      </w:r>
    </w:p>
    <w:p>
      <w:pPr>
        <w:spacing w:line="9" w:lineRule="exact"/>
        <w:rPr>
          <w:rFonts w:ascii="Times New Roman" w:hAnsi="Times New Roman" w:eastAsia="Times New Roman"/>
        </w:rPr>
      </w:pPr>
    </w:p>
    <w:p>
      <w:pPr>
        <w:spacing w:line="232" w:lineRule="auto"/>
        <w:ind w:firstLine="362"/>
        <w:jc w:val="both"/>
        <w:rPr>
          <w:rFonts w:ascii="Times New Roman" w:hAnsi="Times New Roman" w:eastAsia="Times New Roman"/>
        </w:rPr>
      </w:pPr>
      <w:r>
        <w:rPr>
          <w:rFonts w:ascii="Times New Roman" w:hAnsi="Times New Roman" w:eastAsia="Times New Roman"/>
        </w:rPr>
        <w:t>Моделювання зміни концентрації ра-дикалів (•ОО</w:t>
      </w:r>
      <w:r>
        <w:rPr>
          <w:rFonts w:ascii="Times New Roman" w:hAnsi="Times New Roman" w:eastAsia="Times New Roman"/>
          <w:sz w:val="25"/>
          <w:vertAlign w:val="superscript"/>
        </w:rPr>
        <w:t>–</w:t>
      </w:r>
      <w:r>
        <w:rPr>
          <w:rFonts w:ascii="Times New Roman" w:hAnsi="Times New Roman" w:eastAsia="Times New Roman"/>
        </w:rPr>
        <w:t xml:space="preserve"> та •ОН) відносно молекули антиоксиданту показало, що при взаємодії одночасно п’яти радикалів в обох випад-ках із молекулою GSH в цілому не змінює характер перерозподілу електронної густи-ни для взаємодії із одним радикалом, але робить його більш «м’яким».</w:t>
      </w:r>
    </w:p>
    <w:p>
      <w:pPr>
        <w:spacing w:line="7" w:lineRule="exact"/>
        <w:rPr>
          <w:rFonts w:ascii="Times New Roman" w:hAnsi="Times New Roman" w:eastAsia="Times New Roman"/>
        </w:rPr>
      </w:pPr>
    </w:p>
    <w:p>
      <w:pPr>
        <w:spacing w:line="239" w:lineRule="auto"/>
        <w:ind w:firstLine="283"/>
        <w:jc w:val="both"/>
        <w:rPr>
          <w:rFonts w:ascii="Times New Roman" w:hAnsi="Times New Roman" w:eastAsia="Times New Roman"/>
        </w:rPr>
      </w:pPr>
      <w:r>
        <w:rPr>
          <w:rFonts w:ascii="Times New Roman" w:hAnsi="Times New Roman" w:eastAsia="Times New Roman"/>
        </w:rPr>
        <w:t>Отже, взаємодія молекули дослідженого антиоксиданту із вільними радикалами ки-сню ініціює різнонаправлений перерозпо-діл електронної густини в молекулі глута-тіону (рис.3).</w:t>
      </w:r>
    </w:p>
    <w:p>
      <w:pPr>
        <w:spacing w:line="5" w:lineRule="exact"/>
        <w:rPr>
          <w:rFonts w:ascii="Times New Roman" w:hAnsi="Times New Roman" w:eastAsia="Times New Roman"/>
        </w:rPr>
      </w:pPr>
    </w:p>
    <w:p>
      <w:pPr>
        <w:spacing w:line="239" w:lineRule="auto"/>
        <w:ind w:firstLine="283"/>
        <w:jc w:val="both"/>
        <w:rPr>
          <w:rFonts w:ascii="Times New Roman" w:hAnsi="Times New Roman" w:eastAsia="Times New Roman"/>
        </w:rPr>
      </w:pPr>
      <w:r>
        <w:rPr>
          <w:rFonts w:ascii="Times New Roman" w:hAnsi="Times New Roman" w:eastAsia="Times New Roman"/>
        </w:rPr>
        <w:t>ВИСНОВОК. Таким чином, на основі аналізу результатів квантовохімічного мо-делювання досліджено механізм взаємодії молекули глутатіону з •ОН і •ООˉ, який</w:t>
      </w:r>
      <w:r>
        <w:rPr>
          <w:rFonts w:ascii="Times New Roman" w:hAnsi="Times New Roman" w:eastAsia="Times New Roman"/>
          <w:lang w:val="uk-UA"/>
        </w:rPr>
        <w:t xml:space="preserve"> </w:t>
      </w:r>
      <w:r>
        <w:rPr>
          <w:rFonts w:ascii="Times New Roman" w:hAnsi="Times New Roman" w:eastAsia="Times New Roman"/>
        </w:rPr>
        <w:t>показав, що реакція між антиоксидантом і радикалами відбувається за кислотно-основним механізмом, причо-му GSH по відношенню до •ОН виступає як основа, а по відношенню до •ООˉ– як кислота.</w:t>
      </w:r>
    </w:p>
    <w:p>
      <w:pPr>
        <w:spacing w:line="1" w:lineRule="exact"/>
        <w:rPr>
          <w:rFonts w:ascii="Times New Roman" w:hAnsi="Times New Roman" w:eastAsia="Times New Roman"/>
        </w:rPr>
      </w:pPr>
    </w:p>
    <w:p>
      <w:pPr>
        <w:spacing w:line="239" w:lineRule="auto"/>
        <w:ind w:left="7"/>
        <w:jc w:val="right"/>
        <w:rPr>
          <w:rFonts w:ascii="Times New Roman" w:hAnsi="Times New Roman" w:eastAsia="Times New Roman"/>
        </w:rPr>
      </w:pPr>
      <w:r>
        <w:rPr>
          <w:rFonts w:ascii="Times New Roman" w:hAnsi="Times New Roman" w:eastAsia="Times New Roman"/>
        </w:rPr>
        <w:t>Отримані результати дають можливість більш глибоко зрозуміти механізм процесів, які проходять в біоло-гічних системах із участю молекули глутатіону, а також перспективність використання квантовохімічних роз-рахунків для встановлення особливостей антирадикальної актив-ності біомолекул  із вільними радикалами та прогнозування</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18720" behindDoc="1" locked="0" layoutInCell="1" allowOverlap="1">
            <wp:simplePos x="0" y="0"/>
            <wp:positionH relativeFrom="column">
              <wp:posOffset>635</wp:posOffset>
            </wp:positionH>
            <wp:positionV relativeFrom="paragraph">
              <wp:posOffset>-206375</wp:posOffset>
            </wp:positionV>
            <wp:extent cx="2286000" cy="1438275"/>
            <wp:effectExtent l="0" t="0" r="0" b="9525"/>
            <wp:wrapNone/>
            <wp:docPr id="5" name="Изображение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11"/>
                    <pic:cNvPicPr>
                      <a:picLocks noChangeAspect="1"/>
                    </pic:cNvPicPr>
                  </pic:nvPicPr>
                  <pic:blipFill>
                    <a:blip r:embed="rId6"/>
                    <a:stretch>
                      <a:fillRect/>
                    </a:stretch>
                  </pic:blipFill>
                  <pic:spPr>
                    <a:xfrm>
                      <a:off x="0" y="0"/>
                      <a:ext cx="2286000" cy="1438275"/>
                    </a:xfrm>
                    <a:prstGeom prst="rect">
                      <a:avLst/>
                    </a:prstGeom>
                    <a:noFill/>
                    <a:ln w="9525">
                      <a:noFill/>
                    </a:ln>
                  </pic:spPr>
                </pic:pic>
              </a:graphicData>
            </a:graphic>
          </wp:anchor>
        </w:drawing>
      </w:r>
    </w:p>
    <w:p>
      <w:pPr>
        <w:spacing w:line="0" w:lineRule="atLeast"/>
        <w:ind w:left="3580"/>
        <w:jc w:val="center"/>
        <w:rPr>
          <w:rFonts w:ascii="Times New Roman" w:hAnsi="Times New Roman" w:eastAsia="Times New Roman"/>
        </w:rPr>
      </w:pPr>
      <w:r>
        <w:rPr>
          <w:rFonts w:ascii="Times New Roman" w:hAnsi="Times New Roman" w:eastAsia="Times New Roman"/>
        </w:rPr>
        <w:t>шляхів створення нових хіміко-фармацевтичних препаратів.</w:t>
      </w:r>
    </w:p>
    <w:p>
      <w:pPr>
        <w:spacing w:line="231" w:lineRule="exact"/>
        <w:rPr>
          <w:rFonts w:ascii="Times New Roman" w:hAnsi="Times New Roman" w:eastAsia="Times New Roman"/>
        </w:rPr>
      </w:pPr>
    </w:p>
    <w:tbl>
      <w:tblPr>
        <w:tblStyle w:val="3"/>
        <w:tblW w:w="9580" w:type="dxa"/>
        <w:tblInd w:w="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780"/>
        <w:gridCol w:w="5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3780" w:type="dxa"/>
            <w:vAlign w:val="bottom"/>
          </w:tcPr>
          <w:p>
            <w:pPr>
              <w:spacing w:line="0" w:lineRule="atLeast"/>
              <w:rPr>
                <w:rFonts w:ascii="Times New Roman" w:hAnsi="Times New Roman" w:eastAsia="Times New Roman"/>
              </w:rPr>
            </w:pPr>
          </w:p>
        </w:tc>
        <w:tc>
          <w:tcPr>
            <w:tcW w:w="5800" w:type="dxa"/>
            <w:vAlign w:val="bottom"/>
          </w:tcPr>
          <w:p>
            <w:pPr>
              <w:spacing w:line="0" w:lineRule="atLeast"/>
              <w:ind w:right="1960"/>
              <w:jc w:val="right"/>
              <w:rPr>
                <w:rFonts w:ascii="Times New Roman" w:hAnsi="Times New Roman" w:eastAsia="Times New Roman"/>
              </w:rPr>
            </w:pPr>
            <w:r>
              <w:rPr>
                <w:rFonts w:ascii="Times New Roman" w:hAnsi="Times New Roman" w:eastAsia="Times New Roman"/>
              </w:rPr>
              <w:t>ЛІТЕРАТУРА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8" w:hRule="atLeast"/>
        </w:trPr>
        <w:tc>
          <w:tcPr>
            <w:tcW w:w="3780" w:type="dxa"/>
            <w:vAlign w:val="bottom"/>
          </w:tcPr>
          <w:p>
            <w:pPr>
              <w:spacing w:line="0" w:lineRule="atLeast"/>
              <w:rPr>
                <w:rFonts w:ascii="Times New Roman" w:hAnsi="Times New Roman" w:eastAsia="Times New Roman"/>
                <w:sz w:val="19"/>
              </w:rPr>
            </w:pPr>
          </w:p>
        </w:tc>
        <w:tc>
          <w:tcPr>
            <w:tcW w:w="5800" w:type="dxa"/>
            <w:vAlign w:val="bottom"/>
          </w:tcPr>
          <w:p>
            <w:pPr>
              <w:spacing w:line="228" w:lineRule="exact"/>
              <w:jc w:val="right"/>
              <w:rPr>
                <w:rFonts w:ascii="Times New Roman" w:hAnsi="Times New Roman" w:eastAsia="Times New Roman"/>
              </w:rPr>
            </w:pPr>
            <w:r>
              <w:rPr>
                <w:rFonts w:ascii="Times New Roman" w:hAnsi="Times New Roman" w:eastAsia="Times New Roman"/>
              </w:rPr>
              <w:t>1. Чеснокова Н.П., Понукалина Е.В., Бизенкова М.Н. Моле-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3780" w:type="dxa"/>
            <w:vAlign w:val="bottom"/>
          </w:tcPr>
          <w:p>
            <w:pPr>
              <w:spacing w:line="0" w:lineRule="atLeast"/>
              <w:rPr>
                <w:rFonts w:ascii="Times New Roman" w:hAnsi="Times New Roman" w:eastAsia="Times New Roman"/>
              </w:rPr>
            </w:pPr>
          </w:p>
        </w:tc>
        <w:tc>
          <w:tcPr>
            <w:tcW w:w="5800" w:type="dxa"/>
            <w:vAlign w:val="bottom"/>
          </w:tcPr>
          <w:p>
            <w:pPr>
              <w:spacing w:line="0" w:lineRule="atLeast"/>
              <w:jc w:val="right"/>
              <w:rPr>
                <w:rFonts w:ascii="Times New Roman" w:hAnsi="Times New Roman" w:eastAsia="Times New Roman"/>
              </w:rPr>
            </w:pPr>
            <w:r>
              <w:rPr>
                <w:rFonts w:ascii="Times New Roman" w:hAnsi="Times New Roman" w:eastAsia="Times New Roman"/>
              </w:rPr>
              <w:t>кулярно-клеточные механизмы инактивации свободных радика-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3780" w:type="dxa"/>
            <w:vAlign w:val="bottom"/>
          </w:tcPr>
          <w:p>
            <w:pPr>
              <w:spacing w:line="0" w:lineRule="atLeast"/>
              <w:rPr>
                <w:rFonts w:ascii="Times New Roman" w:hAnsi="Times New Roman" w:eastAsia="Times New Roman"/>
              </w:rPr>
            </w:pPr>
          </w:p>
        </w:tc>
        <w:tc>
          <w:tcPr>
            <w:tcW w:w="5800" w:type="dxa"/>
            <w:vAlign w:val="bottom"/>
          </w:tcPr>
          <w:p>
            <w:pPr>
              <w:spacing w:line="0" w:lineRule="atLeast"/>
              <w:jc w:val="right"/>
              <w:rPr>
                <w:rFonts w:ascii="Times New Roman" w:hAnsi="Times New Roman" w:eastAsia="Times New Roman"/>
              </w:rPr>
            </w:pPr>
            <w:r>
              <w:rPr>
                <w:rFonts w:ascii="Times New Roman" w:hAnsi="Times New Roman" w:eastAsia="Times New Roman"/>
              </w:rPr>
              <w:t>лов в биологических системах //Успехи соврем. естествознания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3780" w:type="dxa"/>
            <w:vAlign w:val="bottom"/>
          </w:tcPr>
          <w:p>
            <w:pPr>
              <w:spacing w:line="0" w:lineRule="atLeast"/>
              <w:rPr>
                <w:rFonts w:ascii="Times New Roman" w:hAnsi="Times New Roman" w:eastAsia="Times New Roman"/>
              </w:rPr>
            </w:pPr>
          </w:p>
        </w:tc>
        <w:tc>
          <w:tcPr>
            <w:tcW w:w="5800" w:type="dxa"/>
            <w:vAlign w:val="bottom"/>
          </w:tcPr>
          <w:p>
            <w:pPr>
              <w:spacing w:line="0" w:lineRule="atLeast"/>
              <w:ind w:left="180"/>
              <w:rPr>
                <w:rFonts w:ascii="Times New Roman" w:hAnsi="Times New Roman" w:eastAsia="Times New Roman"/>
              </w:rPr>
            </w:pPr>
            <w:r>
              <w:rPr>
                <w:rFonts w:ascii="Times New Roman" w:hAnsi="Times New Roman" w:eastAsia="Times New Roman"/>
              </w:rPr>
              <w:t>− 2006.− № 7. − С.29–36.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0" w:hRule="atLeast"/>
        </w:trPr>
        <w:tc>
          <w:tcPr>
            <w:tcW w:w="3780" w:type="dxa"/>
            <w:vAlign w:val="bottom"/>
          </w:tcPr>
          <w:p>
            <w:pPr>
              <w:spacing w:line="0" w:lineRule="atLeast"/>
              <w:rPr>
                <w:rFonts w:ascii="Times New Roman" w:hAnsi="Times New Roman" w:eastAsia="Times New Roman"/>
              </w:rPr>
            </w:pPr>
          </w:p>
        </w:tc>
        <w:tc>
          <w:tcPr>
            <w:tcW w:w="5800" w:type="dxa"/>
            <w:vAlign w:val="bottom"/>
          </w:tcPr>
          <w:p>
            <w:pPr>
              <w:spacing w:line="0" w:lineRule="atLeast"/>
              <w:jc w:val="right"/>
              <w:rPr>
                <w:rFonts w:ascii="Times New Roman" w:hAnsi="Times New Roman" w:eastAsia="Times New Roman"/>
              </w:rPr>
            </w:pPr>
            <w:r>
              <w:rPr>
                <w:rFonts w:ascii="Times New Roman" w:hAnsi="Times New Roman" w:eastAsia="Times New Roman"/>
              </w:rPr>
              <w:t>2. Магин Д.В., Измайлов Д.Ю., Попов И.Н., Владимиров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3780" w:type="dxa"/>
            <w:vMerge w:val="restart"/>
            <w:vAlign w:val="bottom"/>
          </w:tcPr>
          <w:p>
            <w:pPr>
              <w:spacing w:line="0" w:lineRule="atLeast"/>
              <w:ind w:left="420"/>
              <w:rPr>
                <w:rFonts w:ascii="Times New Roman" w:hAnsi="Times New Roman" w:eastAsia="Times New Roman"/>
              </w:rPr>
            </w:pPr>
            <w:r>
              <w:rPr>
                <w:rFonts w:ascii="Times New Roman" w:hAnsi="Times New Roman" w:eastAsia="Times New Roman"/>
              </w:rPr>
              <w:t>Рис. 3 – Схема перерозподілу елек-</w:t>
            </w:r>
          </w:p>
        </w:tc>
        <w:tc>
          <w:tcPr>
            <w:tcW w:w="5800" w:type="dxa"/>
            <w:vAlign w:val="bottom"/>
          </w:tcPr>
          <w:p>
            <w:pPr>
              <w:spacing w:line="0" w:lineRule="atLeast"/>
              <w:jc w:val="right"/>
              <w:rPr>
                <w:rFonts w:ascii="Times New Roman" w:hAnsi="Times New Roman" w:eastAsia="Times New Roman"/>
              </w:rPr>
            </w:pPr>
            <w:r>
              <w:rPr>
                <w:rFonts w:ascii="Times New Roman" w:hAnsi="Times New Roman" w:eastAsia="Times New Roman"/>
              </w:rPr>
              <w:t>Ю.А. Фотохемилюминесценция как метод изучения антиокси-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2" w:hRule="atLeast"/>
        </w:trPr>
        <w:tc>
          <w:tcPr>
            <w:tcW w:w="3780" w:type="dxa"/>
            <w:vMerge w:val="continue"/>
            <w:vAlign w:val="bottom"/>
          </w:tcPr>
          <w:p>
            <w:pPr>
              <w:spacing w:line="0" w:lineRule="atLeast"/>
              <w:rPr>
                <w:rFonts w:ascii="Times New Roman" w:hAnsi="Times New Roman" w:eastAsia="Times New Roman"/>
                <w:sz w:val="7"/>
              </w:rPr>
            </w:pPr>
          </w:p>
        </w:tc>
        <w:tc>
          <w:tcPr>
            <w:tcW w:w="5800" w:type="dxa"/>
            <w:vMerge w:val="restart"/>
            <w:vAlign w:val="bottom"/>
          </w:tcPr>
          <w:p>
            <w:pPr>
              <w:spacing w:line="229" w:lineRule="exact"/>
              <w:jc w:val="right"/>
              <w:rPr>
                <w:rFonts w:ascii="Times New Roman" w:hAnsi="Times New Roman" w:eastAsia="Times New Roman"/>
              </w:rPr>
            </w:pPr>
            <w:r>
              <w:rPr>
                <w:rFonts w:ascii="Times New Roman" w:hAnsi="Times New Roman" w:eastAsia="Times New Roman"/>
              </w:rPr>
              <w:t>дантной активности в биологических системах. Математическое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3780" w:type="dxa"/>
            <w:vMerge w:val="restart"/>
            <w:vAlign w:val="bottom"/>
          </w:tcPr>
          <w:p>
            <w:pPr>
              <w:spacing w:line="0" w:lineRule="atLeast"/>
              <w:ind w:right="108"/>
              <w:jc w:val="center"/>
              <w:rPr>
                <w:rFonts w:ascii="Times New Roman" w:hAnsi="Times New Roman" w:eastAsia="Times New Roman"/>
                <w:w w:val="99"/>
              </w:rPr>
            </w:pPr>
            <w:r>
              <w:rPr>
                <w:rFonts w:ascii="Times New Roman" w:hAnsi="Times New Roman" w:eastAsia="Times New Roman"/>
                <w:w w:val="99"/>
              </w:rPr>
              <w:t>тронної густини молекули GSH внаслідок</w:t>
            </w:r>
          </w:p>
        </w:tc>
        <w:tc>
          <w:tcPr>
            <w:tcW w:w="5800" w:type="dxa"/>
            <w:vMerge w:val="continue"/>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 w:hRule="atLeast"/>
        </w:trPr>
        <w:tc>
          <w:tcPr>
            <w:tcW w:w="3780" w:type="dxa"/>
            <w:vMerge w:val="continue"/>
            <w:vAlign w:val="bottom"/>
          </w:tcPr>
          <w:p>
            <w:pPr>
              <w:spacing w:line="0" w:lineRule="atLeast"/>
              <w:rPr>
                <w:rFonts w:ascii="Times New Roman" w:hAnsi="Times New Roman" w:eastAsia="Times New Roman"/>
                <w:sz w:val="8"/>
              </w:rPr>
            </w:pPr>
          </w:p>
        </w:tc>
        <w:tc>
          <w:tcPr>
            <w:tcW w:w="5800" w:type="dxa"/>
            <w:vMerge w:val="restart"/>
            <w:vAlign w:val="bottom"/>
          </w:tcPr>
          <w:p>
            <w:pPr>
              <w:spacing w:line="0" w:lineRule="atLeast"/>
              <w:ind w:left="180"/>
              <w:rPr>
                <w:rFonts w:ascii="Times New Roman" w:hAnsi="Times New Roman" w:eastAsia="Times New Roman"/>
              </w:rPr>
            </w:pPr>
            <w:r>
              <w:rPr>
                <w:rFonts w:ascii="Times New Roman" w:hAnsi="Times New Roman" w:eastAsia="Times New Roman"/>
              </w:rPr>
              <w:t>моделирование // Вопр. мед. xим.– 2000.– 46, №4.– С. 61-66.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7" w:hRule="atLeast"/>
        </w:trPr>
        <w:tc>
          <w:tcPr>
            <w:tcW w:w="3780" w:type="dxa"/>
            <w:vAlign w:val="bottom"/>
          </w:tcPr>
          <w:p>
            <w:pPr>
              <w:spacing w:line="137" w:lineRule="exact"/>
              <w:ind w:right="108"/>
              <w:jc w:val="center"/>
              <w:rPr>
                <w:rFonts w:ascii="Times New Roman" w:hAnsi="Times New Roman" w:eastAsia="Times New Roman"/>
                <w:sz w:val="15"/>
              </w:rPr>
            </w:pPr>
            <w:r>
              <w:rPr>
                <w:rFonts w:ascii="Times New Roman" w:hAnsi="Times New Roman" w:eastAsia="Times New Roman"/>
                <w:sz w:val="15"/>
              </w:rPr>
              <w:t>взаємодії із радикалами</w:t>
            </w:r>
          </w:p>
        </w:tc>
        <w:tc>
          <w:tcPr>
            <w:tcW w:w="5800" w:type="dxa"/>
            <w:vMerge w:val="continue"/>
            <w:vAlign w:val="bottom"/>
          </w:tcPr>
          <w:p>
            <w:pPr>
              <w:spacing w:line="0" w:lineRule="atLeast"/>
              <w:rPr>
                <w:rFonts w:ascii="Times New Roman" w:hAnsi="Times New Roman" w:eastAsia="Times New Roman"/>
                <w:sz w:val="1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30" w:hRule="atLeast"/>
        </w:trPr>
        <w:tc>
          <w:tcPr>
            <w:tcW w:w="3780" w:type="dxa"/>
            <w:vAlign w:val="bottom"/>
          </w:tcPr>
          <w:p>
            <w:pPr>
              <w:spacing w:line="0" w:lineRule="atLeast"/>
              <w:rPr>
                <w:rFonts w:ascii="Times New Roman" w:hAnsi="Times New Roman" w:eastAsia="Times New Roman"/>
              </w:rPr>
            </w:pPr>
          </w:p>
        </w:tc>
        <w:tc>
          <w:tcPr>
            <w:tcW w:w="5800" w:type="dxa"/>
            <w:vAlign w:val="bottom"/>
          </w:tcPr>
          <w:p>
            <w:pPr>
              <w:spacing w:line="0" w:lineRule="atLeast"/>
              <w:jc w:val="right"/>
              <w:rPr>
                <w:rFonts w:ascii="Times New Roman" w:hAnsi="Times New Roman" w:eastAsia="Times New Roman"/>
              </w:rPr>
            </w:pPr>
            <w:r>
              <w:rPr>
                <w:rFonts w:ascii="Times New Roman" w:hAnsi="Times New Roman" w:eastAsia="Times New Roman"/>
              </w:rPr>
              <w:t>3. Ehlenfeldt M.K., Prior R.L. Oxygen radical absorbance capac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0" w:hRule="atLeast"/>
        </w:trPr>
        <w:tc>
          <w:tcPr>
            <w:tcW w:w="3780" w:type="dxa"/>
            <w:vAlign w:val="bottom"/>
          </w:tcPr>
          <w:p>
            <w:pPr>
              <w:spacing w:line="0" w:lineRule="atLeast"/>
              <w:rPr>
                <w:rFonts w:ascii="Times New Roman" w:hAnsi="Times New Roman" w:eastAsia="Times New Roman"/>
              </w:rPr>
            </w:pPr>
          </w:p>
        </w:tc>
        <w:tc>
          <w:tcPr>
            <w:tcW w:w="5800" w:type="dxa"/>
            <w:vAlign w:val="bottom"/>
          </w:tcPr>
          <w:p>
            <w:pPr>
              <w:spacing w:line="0" w:lineRule="atLeast"/>
              <w:ind w:left="180"/>
              <w:rPr>
                <w:rFonts w:ascii="Times New Roman" w:hAnsi="Times New Roman" w:eastAsia="Times New Roman"/>
              </w:rPr>
            </w:pPr>
            <w:r>
              <w:rPr>
                <w:rFonts w:ascii="Times New Roman" w:hAnsi="Times New Roman" w:eastAsia="Times New Roman"/>
              </w:rPr>
              <w:t>ity (ORAC) and phenolic and anthocyanin concentrations in fruit and</w:t>
            </w:r>
          </w:p>
        </w:tc>
      </w:tr>
    </w:tbl>
    <w:p>
      <w:pPr>
        <w:spacing w:line="0" w:lineRule="atLeast"/>
        <w:ind w:left="7"/>
        <w:rPr>
          <w:rFonts w:ascii="Times New Roman" w:hAnsi="Times New Roman" w:eastAsia="Times New Roman"/>
        </w:rPr>
      </w:pPr>
      <w:r>
        <w:rPr>
          <w:rFonts w:ascii="Times New Roman" w:hAnsi="Times New Roman" w:eastAsia="Times New Roman"/>
        </w:rPr>
        <w:t>leaf tissues of highbush blueberry // Journal of Agricultural and Food Chemistry.– 2001. – № 49. –P. 2222–2227.</w:t>
      </w:r>
    </w:p>
    <w:p>
      <w:pPr>
        <w:numPr>
          <w:ilvl w:val="0"/>
          <w:numId w:val="2"/>
        </w:numPr>
        <w:tabs>
          <w:tab w:val="left" w:pos="574"/>
        </w:tabs>
        <w:spacing w:line="239" w:lineRule="auto"/>
        <w:ind w:left="283" w:leftChars="0" w:right="20" w:rightChars="0"/>
        <w:rPr>
          <w:rFonts w:ascii="Times New Roman" w:hAnsi="Times New Roman" w:eastAsia="Times New Roman"/>
        </w:rPr>
      </w:pPr>
      <w:r>
        <w:rPr>
          <w:rFonts w:ascii="Times New Roman" w:hAnsi="Times New Roman" w:eastAsia="Times New Roman"/>
        </w:rPr>
        <w:t>Korotkova E.I., Karbainov Y.A., Avramchik O.A. Investigation of antioxidant and catalytic properties of some biologically active substances by voltammetry// Anal and Bioanal Chem.– 2003.– 375, № 1-3.–P. 465-468.</w:t>
      </w:r>
    </w:p>
    <w:p>
      <w:pPr>
        <w:numPr>
          <w:ilvl w:val="0"/>
          <w:numId w:val="2"/>
        </w:numPr>
        <w:tabs>
          <w:tab w:val="left" w:pos="574"/>
        </w:tabs>
        <w:spacing w:line="0" w:lineRule="atLeast"/>
        <w:ind w:left="283" w:leftChars="0" w:firstLine="0" w:firstLineChars="0"/>
        <w:rPr>
          <w:rFonts w:ascii="Times New Roman" w:hAnsi="Times New Roman" w:eastAsia="Times New Roman"/>
        </w:rPr>
      </w:pPr>
      <w:r>
        <w:rPr>
          <w:rFonts w:ascii="Times New Roman" w:hAnsi="Times New Roman" w:eastAsia="Times New Roman"/>
        </w:rPr>
        <w:t>Кулинский В.И., Колесниченко В.И. Биологическая роль глутатиона // Успехи современной биологии. – 1990. –51, №1(4).– С. 20–33.</w:t>
      </w:r>
    </w:p>
    <w:p>
      <w:pPr>
        <w:numPr>
          <w:ilvl w:val="0"/>
          <w:numId w:val="2"/>
        </w:numPr>
        <w:tabs>
          <w:tab w:val="left" w:pos="567"/>
        </w:tabs>
        <w:spacing w:line="0" w:lineRule="atLeast"/>
        <w:ind w:left="283" w:leftChars="0" w:firstLine="0" w:firstLineChars="0"/>
        <w:rPr>
          <w:rFonts w:ascii="Times New Roman" w:hAnsi="Times New Roman" w:eastAsia="Times New Roman"/>
        </w:rPr>
      </w:pPr>
      <w:r>
        <w:rPr>
          <w:rFonts w:ascii="Times New Roman" w:hAnsi="Times New Roman" w:eastAsia="Times New Roman"/>
        </w:rPr>
        <w:t>Anderson M.E. Glutathione: an overview of biosynthesis and modulation // Chem. Biol. Interact. 1998. –111–</w:t>
      </w:r>
    </w:p>
    <w:p>
      <w:pPr>
        <w:numPr>
          <w:numId w:val="0"/>
        </w:numPr>
        <w:tabs>
          <w:tab w:val="left" w:pos="407"/>
        </w:tabs>
        <w:spacing w:line="0" w:lineRule="atLeast"/>
        <w:ind w:leftChars="0"/>
        <w:rPr>
          <w:rFonts w:ascii="Times New Roman" w:hAnsi="Times New Roman" w:eastAsia="Times New Roman"/>
        </w:rPr>
      </w:pPr>
      <w:r>
        <w:rPr>
          <w:rFonts w:ascii="Times New Roman" w:hAnsi="Times New Roman" w:eastAsia="Times New Roman"/>
          <w:lang w:val="uk-UA"/>
        </w:rPr>
        <w:t>112</w:t>
      </w:r>
      <w:r>
        <w:rPr>
          <w:rFonts w:ascii="Times New Roman" w:hAnsi="Times New Roman" w:eastAsia="Times New Roman"/>
        </w:rPr>
        <w:t>– P. l–14.</w:t>
      </w:r>
    </w:p>
    <w:p>
      <w:pPr>
        <w:numPr>
          <w:ilvl w:val="0"/>
          <w:numId w:val="2"/>
        </w:numPr>
        <w:tabs>
          <w:tab w:val="left" w:pos="574"/>
        </w:tabs>
        <w:spacing w:line="239" w:lineRule="auto"/>
        <w:ind w:left="283" w:leftChars="0" w:right="20" w:rightChars="0" w:firstLine="0" w:firstLineChars="0"/>
        <w:rPr>
          <w:rFonts w:ascii="Times New Roman" w:hAnsi="Times New Roman" w:eastAsia="Times New Roman"/>
        </w:rPr>
      </w:pPr>
      <w:r>
        <w:rPr>
          <w:rFonts w:ascii="Times New Roman" w:hAnsi="Times New Roman" w:eastAsia="Times New Roman"/>
        </w:rPr>
        <w:t>Шаповал Г.С. , Миронюк И.Е., Громовая В.Ф., Кругляк О.С. Электрохимическое моделирование редокс– реакций глутатиона // Журнал общей химии.– 2008. – 78, № 12. – С. 2040–2044.</w:t>
      </w:r>
    </w:p>
    <w:p>
      <w:pPr>
        <w:numPr>
          <w:ilvl w:val="0"/>
          <w:numId w:val="2"/>
        </w:numPr>
        <w:tabs>
          <w:tab w:val="left" w:pos="574"/>
        </w:tabs>
        <w:spacing w:line="0" w:lineRule="atLeast"/>
        <w:ind w:left="283" w:leftChars="0" w:right="20" w:rightChars="0" w:firstLine="0" w:firstLineChars="0"/>
        <w:rPr>
          <w:rFonts w:ascii="Times New Roman" w:hAnsi="Times New Roman" w:eastAsia="Times New Roman"/>
        </w:rPr>
      </w:pPr>
      <w:r>
        <w:rPr>
          <w:rFonts w:ascii="Times New Roman" w:hAnsi="Times New Roman" w:eastAsia="Times New Roman"/>
        </w:rPr>
        <w:t>Alex A. Granovsky. Firefly and PC GAMESS /Firefly version 8.0.1. [Electronic resource]. − Access mode //http://classic.chem.msu.su /gran/games/forum/ discussion.html</w:t>
      </w:r>
    </w:p>
    <w:p>
      <w:pPr>
        <w:spacing w:line="1" w:lineRule="exact"/>
        <w:rPr>
          <w:rFonts w:ascii="Times New Roman" w:hAnsi="Times New Roman" w:eastAsia="Times New Roman"/>
        </w:rPr>
      </w:pPr>
    </w:p>
    <w:p>
      <w:pPr>
        <w:numPr>
          <w:ilvl w:val="0"/>
          <w:numId w:val="2"/>
        </w:numPr>
        <w:tabs>
          <w:tab w:val="left" w:pos="574"/>
        </w:tabs>
        <w:spacing w:line="256" w:lineRule="auto"/>
        <w:ind w:left="283" w:leftChars="0" w:firstLine="0" w:firstLineChars="0"/>
        <w:jc w:val="both"/>
        <w:rPr>
          <w:rFonts w:ascii="Times New Roman" w:hAnsi="Times New Roman" w:eastAsia="Times New Roman"/>
        </w:rPr>
      </w:pPr>
      <w:r>
        <w:rPr>
          <w:rFonts w:ascii="Times New Roman" w:hAnsi="Times New Roman" w:eastAsia="Times New Roman"/>
        </w:rPr>
        <w:t>Соловьев В.В., Кузнецова Т.Ю. Сравнительное моделирование взаимодействия молекул глутатиона и мелатонина с гидроксил-радикалом по результатах неэмпирических квантово-химических расчетов //Укр. хим. журн. – 2012. – Т.78, № 8. – С.92–96.</w:t>
      </w:r>
    </w:p>
    <w:p>
      <w:pPr>
        <w:spacing w:line="20" w:lineRule="exact"/>
        <w:rPr>
          <w:rFonts w:ascii="Times New Roman" w:hAnsi="Times New Roman" w:eastAsia="Times New Roman"/>
        </w:rPr>
      </w:pPr>
      <w:r>
        <w:rPr>
          <w:rFonts w:ascii="Times New Roman" w:hAnsi="Times New Roman" w:eastAsia="Times New Roman"/>
        </w:rPr>
        <w:drawing>
          <wp:anchor distT="0" distB="0" distL="114300" distR="114300" simplePos="0" relativeHeight="252319744" behindDoc="1" locked="0" layoutInCell="1" allowOverlap="1">
            <wp:simplePos x="0" y="0"/>
            <wp:positionH relativeFrom="column">
              <wp:posOffset>-17780</wp:posOffset>
            </wp:positionH>
            <wp:positionV relativeFrom="paragraph">
              <wp:posOffset>507365</wp:posOffset>
            </wp:positionV>
            <wp:extent cx="6158230" cy="8890"/>
            <wp:effectExtent l="0" t="0" r="0" b="0"/>
            <wp:wrapNone/>
            <wp:docPr id="4" name="Изображение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12"/>
                    <pic:cNvPicPr>
                      <a:picLocks noChangeAspect="1"/>
                    </pic:cNvPicPr>
                  </pic:nvPicPr>
                  <pic:blipFill>
                    <a:blip r:embed="rId4"/>
                    <a:stretch>
                      <a:fillRect/>
                    </a:stretch>
                  </pic:blipFill>
                  <pic:spPr>
                    <a:xfrm>
                      <a:off x="0" y="0"/>
                      <a:ext cx="6158230" cy="8890"/>
                    </a:xfrm>
                    <a:prstGeom prst="rect">
                      <a:avLst/>
                    </a:prstGeom>
                    <a:noFill/>
                    <a:ln w="9525">
                      <a:noFill/>
                    </a:ln>
                  </pic:spPr>
                </pic:pic>
              </a:graphicData>
            </a:graphic>
          </wp:anchor>
        </w:drawing>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64" w:lineRule="auto"/>
        <w:ind w:right="13"/>
        <w:jc w:val="center"/>
        <w:rPr>
          <w:rFonts w:ascii="Times New Roman" w:hAnsi="Times New Roman" w:eastAsia="Times New Roman"/>
        </w:rPr>
      </w:pPr>
    </w:p>
    <w:p>
      <w:pPr>
        <w:spacing w:line="264" w:lineRule="auto"/>
        <w:ind w:right="13"/>
        <w:jc w:val="center"/>
        <w:rPr>
          <w:rFonts w:ascii="Times New Roman" w:hAnsi="Times New Roman" w:eastAsia="Times New Roman"/>
        </w:rPr>
      </w:pPr>
    </w:p>
    <w:p>
      <w:pPr>
        <w:spacing w:line="264" w:lineRule="auto"/>
        <w:ind w:right="13"/>
        <w:jc w:val="center"/>
        <w:rPr>
          <w:rFonts w:ascii="Times New Roman" w:hAnsi="Times New Roman" w:eastAsia="Times New Roman"/>
        </w:rPr>
      </w:pPr>
      <w:r>
        <w:rPr>
          <w:rFonts w:ascii="Times New Roman" w:hAnsi="Times New Roman" w:eastAsia="Times New Roman"/>
        </w:rPr>
        <w:t xml:space="preserve">ХVII Міжнародна науково-технічна конференція «Фізичні процеси та поля технічних і біологічних об’єктів» </w:t>
      </w:r>
    </w:p>
    <w:p>
      <w:pPr>
        <w:spacing w:line="264" w:lineRule="auto"/>
        <w:ind w:right="13"/>
        <w:jc w:val="center"/>
      </w:pPr>
      <w:r>
        <w:rPr>
          <w:rFonts w:ascii="Times New Roman" w:hAnsi="Times New Roman" w:eastAsia="Times New Roman"/>
        </w:rPr>
        <w:t>182</w:t>
      </w:r>
      <w:bookmarkStart w:id="2" w:name="_GoBack"/>
      <w:bookmarkEnd w:id="2"/>
    </w:p>
    <w:sectPr>
      <w:pgSz w:w="11906" w:h="16838"/>
      <w:pgMar w:top="840" w:right="906" w:bottom="1198" w:left="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Calibri"/>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altName w:val="Arial Unicode MS"/>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Arial Unicode MS">
    <w:panose1 w:val="020B0604020202020204"/>
    <w:charset w:val="86"/>
    <w:family w:val="auto"/>
    <w:pitch w:val="default"/>
    <w:sig w:usb0="FFFFFFFF" w:usb1="E9FFFFFF" w:usb2="0000003F" w:usb3="00000000" w:csb0="603F01FF" w:csb1="FFFF0000"/>
  </w:font>
  <w:font w:name="SimSun">
    <w:altName w:val="Times New Roman"/>
    <w:panose1 w:val="00000000000000000000"/>
    <w:charset w:val="86"/>
    <w:family w:val="auto"/>
    <w:pitch w:val="default"/>
    <w:sig w:usb0="00000000" w:usb1="00000000" w:usb2="00000000" w:usb3="00000000" w:csb0="00000000" w:csb1="00000000"/>
  </w:font>
  <w:font w:name="SimSun">
    <w:altName w:val="Arial Unicode MS"/>
    <w:panose1 w:val="02010600030101010101"/>
    <w:charset w:val="86"/>
    <w:family w:val="auto"/>
    <w:pitch w:val="default"/>
    <w:sig w:usb0="00000000" w:usb1="00000000" w:usb2="00000016" w:usb3="00000000" w:csb0="00040001"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12"/>
      <w:numFmt w:val="none"/>
      <w:lvlText w:val="࿿࿿࿿_x0010_{"/>
      <w:legacy w:legacy="1" w:legacySpace="268374015" w:legacyIndent="268374015"/>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5888"/>
      <w:numFmt w:val="decimal"/>
      <w:lvlText w:val=""/>
      <w:lvlJc w:val="left"/>
    </w:lvl>
    <w:lvl w:ilvl="5" w:tentative="0">
      <w:start w:val="5888"/>
      <w:numFmt w:val="decimal"/>
      <w:lvlText w:val=""/>
      <w:lvlJc w:val="left"/>
    </w:lvl>
    <w:lvl w:ilvl="6" w:tentative="0">
      <w:start w:val="5888"/>
      <w:numFmt w:val="decimal"/>
      <w:lvlText w:val=""/>
      <w:lvlJc w:val="left"/>
    </w:lvl>
    <w:lvl w:ilvl="7" w:tentative="0">
      <w:start w:val="5888"/>
      <w:numFmt w:val="decimal"/>
      <w:lvlText w:val=""/>
      <w:lvlJc w:val="left"/>
    </w:lvl>
    <w:lvl w:ilvl="8" w:tentative="0">
      <w:start w:val="5888"/>
      <w:numFmt w:val="decimal"/>
      <w:lvlText w:val=""/>
      <w:lvlJc w:val="left"/>
    </w:lvl>
  </w:abstractNum>
  <w:abstractNum w:abstractNumId="1">
    <w:nsid w:val="4A6D2C78"/>
    <w:multiLevelType w:val="singleLevel"/>
    <w:tmpl w:val="4A6D2C78"/>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D2FBA"/>
    <w:rsid w:val="480D2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Office_10.2.0.7549_F1E327BC-269C-435d-A152-05C5408002CA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2018-12-04T12:09:00Z</dcterms:created>
  <dc:creator>shef</dc:creator>
  <cp:lastModifiedBy>shef</cp:lastModifiedBy>
  <dcterms:modified xsi:type="dcterms:W3CDTF">2018-12-04T12:17:03Z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