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ind w:right="13"/>
        <w:jc w:val="center"/>
        <w:rPr>
          <w:rFonts w:ascii="Times New Roman" w:hAnsi="Times New Roman" w:eastAsia="Times New Roman"/>
        </w:rPr>
      </w:pPr>
      <w:r>
        <w:rPr>
          <w:rFonts w:ascii="Times New Roman" w:hAnsi="Times New Roman" w:eastAsia="Times New Roman"/>
        </w:rPr>
        <w:t>МОДЕЛЮВАННЯ ЦІЛЬОВИХ ОПЕРАЦІЙ У ТЕХНІЧНИХ</w:t>
      </w:r>
    </w:p>
    <w:p>
      <w:pPr>
        <w:spacing w:line="3" w:lineRule="exact"/>
        <w:rPr>
          <w:rFonts w:ascii="Times New Roman" w:hAnsi="Times New Roman" w:eastAsia="Times New Roman"/>
        </w:rPr>
      </w:pPr>
    </w:p>
    <w:p>
      <w:pPr>
        <w:numPr>
          <w:ilvl w:val="1"/>
          <w:numId w:val="1"/>
        </w:numPr>
        <w:tabs>
          <w:tab w:val="left" w:pos="2927"/>
        </w:tabs>
        <w:spacing w:line="0" w:lineRule="atLeast"/>
        <w:ind w:left="2927" w:hanging="111"/>
        <w:rPr>
          <w:rFonts w:ascii="Times New Roman" w:hAnsi="Times New Roman" w:eastAsia="Times New Roman"/>
        </w:rPr>
      </w:pPr>
      <w:r>
        <w:rPr>
          <w:rFonts w:ascii="Times New Roman" w:hAnsi="Times New Roman" w:eastAsia="Times New Roman"/>
        </w:rPr>
        <w:t>БІОЛОГІЧНИХ СИСТЕМАХ ТА ОБ’ЄКТАХ</w:t>
      </w:r>
    </w:p>
    <w:p>
      <w:pPr>
        <w:spacing w:line="106" w:lineRule="exact"/>
        <w:rPr>
          <w:rFonts w:ascii="Times New Roman" w:hAnsi="Times New Roman" w:eastAsia="Times New Roman"/>
        </w:rPr>
      </w:pPr>
    </w:p>
    <w:p>
      <w:pPr>
        <w:numPr>
          <w:ilvl w:val="0"/>
          <w:numId w:val="1"/>
        </w:numPr>
        <w:tabs>
          <w:tab w:val="left" w:pos="165"/>
        </w:tabs>
        <w:spacing w:line="0" w:lineRule="atLeast"/>
        <w:ind w:left="7" w:right="20" w:hanging="7"/>
        <w:rPr>
          <w:rFonts w:ascii="Times New Roman" w:hAnsi="Times New Roman" w:eastAsia="Times New Roman"/>
        </w:rPr>
      </w:pPr>
      <w:r>
        <w:rPr>
          <w:rFonts w:ascii="Times New Roman" w:hAnsi="Times New Roman" w:eastAsia="Times New Roman"/>
        </w:rPr>
        <w:t>частиною комплексу моделей і алгоритмів, що застосовані в інформаційній технології адаптації інтерфейсу системи електронного документообігу до поточних задач і ролі користувача.</w:t>
      </w:r>
    </w:p>
    <w:p>
      <w:pPr>
        <w:spacing w:line="1" w:lineRule="exact"/>
        <w:rPr>
          <w:rFonts w:ascii="Times New Roman" w:hAnsi="Times New Roman" w:eastAsia="Times New Roman"/>
        </w:rPr>
      </w:pPr>
    </w:p>
    <w:p>
      <w:pPr>
        <w:spacing w:line="0" w:lineRule="atLeast"/>
        <w:ind w:left="7"/>
        <w:rPr>
          <w:rFonts w:ascii="Times New Roman" w:hAnsi="Times New Roman" w:eastAsia="Times New Roman"/>
        </w:rPr>
      </w:pPr>
      <w:r>
        <w:rPr>
          <w:rFonts w:ascii="Times New Roman" w:hAnsi="Times New Roman" w:eastAsia="Times New Roman"/>
          <w:b/>
        </w:rPr>
        <w:t xml:space="preserve">Ключові слова: </w:t>
      </w:r>
      <w:r>
        <w:rPr>
          <w:rFonts w:ascii="Times New Roman" w:hAnsi="Times New Roman" w:eastAsia="Times New Roman"/>
        </w:rPr>
        <w:t>документообіг,</w:t>
      </w:r>
      <w:r>
        <w:rPr>
          <w:rFonts w:ascii="Times New Roman" w:hAnsi="Times New Roman" w:eastAsia="Times New Roman"/>
          <w:b/>
        </w:rPr>
        <w:t xml:space="preserve"> </w:t>
      </w:r>
      <w:r>
        <w:rPr>
          <w:rFonts w:ascii="Times New Roman" w:hAnsi="Times New Roman" w:eastAsia="Times New Roman"/>
        </w:rPr>
        <w:t>онтологія,</w:t>
      </w:r>
      <w:r>
        <w:rPr>
          <w:rFonts w:ascii="Times New Roman" w:hAnsi="Times New Roman" w:eastAsia="Times New Roman"/>
          <w:b/>
        </w:rPr>
        <w:t xml:space="preserve"> </w:t>
      </w:r>
      <w:r>
        <w:rPr>
          <w:rFonts w:ascii="Times New Roman" w:hAnsi="Times New Roman" w:eastAsia="Times New Roman"/>
        </w:rPr>
        <w:t>модель,</w:t>
      </w:r>
      <w:r>
        <w:rPr>
          <w:rFonts w:ascii="Times New Roman" w:hAnsi="Times New Roman" w:eastAsia="Times New Roman"/>
          <w:b/>
        </w:rPr>
        <w:t xml:space="preserve"> </w:t>
      </w:r>
      <w:r>
        <w:rPr>
          <w:rFonts w:ascii="Times New Roman" w:hAnsi="Times New Roman" w:eastAsia="Times New Roman"/>
        </w:rPr>
        <w:t>інтерфейс,</w:t>
      </w:r>
      <w:r>
        <w:rPr>
          <w:rFonts w:ascii="Times New Roman" w:hAnsi="Times New Roman" w:eastAsia="Times New Roman"/>
          <w:b/>
        </w:rPr>
        <w:t xml:space="preserve"> </w:t>
      </w:r>
      <w:r>
        <w:rPr>
          <w:rFonts w:ascii="Times New Roman" w:hAnsi="Times New Roman" w:eastAsia="Times New Roman"/>
        </w:rPr>
        <w:t>адаптація.</w:t>
      </w:r>
    </w:p>
    <w:p>
      <w:pPr>
        <w:spacing w:line="20" w:lineRule="exact"/>
        <w:rPr>
          <w:rFonts w:ascii="Times New Roman" w:hAnsi="Times New Roman" w:eastAsia="Times New Roman"/>
        </w:rPr>
      </w:pPr>
      <w:r>
        <w:rPr>
          <w:rFonts w:ascii="Times New Roman" w:hAnsi="Times New Roman" w:eastAsia="Times New Roman"/>
        </w:rPr>
        <w:drawing>
          <wp:anchor distT="0" distB="0" distL="114300" distR="114300" simplePos="0" relativeHeight="252386304" behindDoc="1" locked="0" layoutInCell="1" allowOverlap="1">
            <wp:simplePos x="0" y="0"/>
            <wp:positionH relativeFrom="column">
              <wp:posOffset>-17780</wp:posOffset>
            </wp:positionH>
            <wp:positionV relativeFrom="paragraph">
              <wp:posOffset>-481330</wp:posOffset>
            </wp:positionV>
            <wp:extent cx="6158230" cy="8890"/>
            <wp:effectExtent l="0" t="0" r="0" b="0"/>
            <wp:wrapNone/>
            <wp:docPr id="8" name="Изобра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Изображение 2"/>
                    <pic:cNvPicPr>
                      <a:picLocks noChangeAspect="1"/>
                    </pic:cNvPicPr>
                  </pic:nvPicPr>
                  <pic:blipFill>
                    <a:blip r:embed="rId4"/>
                    <a:stretch>
                      <a:fillRect/>
                    </a:stretch>
                  </pic:blipFill>
                  <pic:spPr>
                    <a:xfrm>
                      <a:off x="0" y="0"/>
                      <a:ext cx="6158230" cy="8890"/>
                    </a:xfrm>
                    <a:prstGeom prst="rect">
                      <a:avLst/>
                    </a:prstGeom>
                    <a:noFill/>
                    <a:ln w="9525">
                      <a:noFill/>
                    </a:ln>
                  </pic:spPr>
                </pic:pic>
              </a:graphicData>
            </a:graphic>
          </wp:anchor>
        </w:drawing>
      </w:r>
    </w:p>
    <w:p>
      <w:pPr>
        <w:spacing w:line="209" w:lineRule="exact"/>
        <w:rPr>
          <w:rFonts w:ascii="Times New Roman" w:hAnsi="Times New Roman" w:eastAsia="Times New Roman"/>
        </w:rPr>
      </w:pPr>
    </w:p>
    <w:p>
      <w:pPr>
        <w:spacing w:line="239" w:lineRule="auto"/>
        <w:ind w:left="7" w:right="960" w:firstLine="1229"/>
        <w:rPr>
          <w:rFonts w:ascii="Times New Roman" w:hAnsi="Times New Roman" w:eastAsia="Times New Roman"/>
          <w:b/>
        </w:rPr>
      </w:pPr>
      <w:r>
        <w:rPr>
          <w:rFonts w:ascii="Times New Roman" w:hAnsi="Times New Roman" w:eastAsia="Times New Roman"/>
          <w:b/>
        </w:rPr>
        <w:t>MODELS OF ADAPTIVE INTERFACE OF ELECTRONIC DOCUMENT SYSTEMS Skryl A., Fatovenko M.</w:t>
      </w:r>
    </w:p>
    <w:p>
      <w:pPr>
        <w:spacing w:line="2" w:lineRule="exact"/>
        <w:rPr>
          <w:rFonts w:ascii="Times New Roman" w:hAnsi="Times New Roman" w:eastAsia="Times New Roman"/>
        </w:rPr>
      </w:pPr>
    </w:p>
    <w:p>
      <w:pPr>
        <w:spacing w:line="0" w:lineRule="atLeast"/>
        <w:ind w:left="7"/>
        <w:rPr>
          <w:rFonts w:ascii="Times New Roman" w:hAnsi="Times New Roman" w:eastAsia="Times New Roman"/>
        </w:rPr>
      </w:pPr>
      <w:r>
        <w:rPr>
          <w:rFonts w:ascii="Times New Roman" w:hAnsi="Times New Roman" w:eastAsia="Times New Roman"/>
        </w:rPr>
        <w:t>Kremenchuk Mykhailo Ostrohradskyi National University</w:t>
      </w:r>
    </w:p>
    <w:p>
      <w:pPr>
        <w:spacing w:line="0" w:lineRule="atLeast"/>
        <w:ind w:left="7"/>
        <w:rPr>
          <w:rFonts w:ascii="Times New Roman" w:hAnsi="Times New Roman" w:eastAsia="Times New Roman"/>
        </w:rPr>
      </w:pPr>
      <w:r>
        <w:rPr>
          <w:rFonts w:ascii="Times New Roman" w:hAnsi="Times New Roman" w:eastAsia="Times New Roman"/>
        </w:rPr>
        <w:t>vul. Pershotravneva, 20, Kremenchuk, 39600, Ukraine. E-mail: endlesskwazar@gmail.com</w:t>
      </w:r>
    </w:p>
    <w:p>
      <w:pPr>
        <w:spacing w:line="238" w:lineRule="auto"/>
        <w:ind w:left="7" w:right="20"/>
        <w:jc w:val="both"/>
        <w:rPr>
          <w:rFonts w:ascii="Times New Roman" w:hAnsi="Times New Roman" w:eastAsia="Times New Roman"/>
        </w:rPr>
      </w:pPr>
      <w:r>
        <w:rPr>
          <w:rFonts w:ascii="Times New Roman" w:hAnsi="Times New Roman" w:eastAsia="Times New Roman"/>
        </w:rPr>
        <w:t>A model of ontology of the subject area "Document flow" and a model of dialogue with the user has been developed. These models are part of a set of models and algorithms that are applied in the information technology of adapting the interface of the electronic document flow system to the current tasks and the role of the user.</w:t>
      </w:r>
    </w:p>
    <w:p>
      <w:pPr>
        <w:spacing w:line="1" w:lineRule="exact"/>
        <w:rPr>
          <w:rFonts w:ascii="Times New Roman" w:hAnsi="Times New Roman" w:eastAsia="Times New Roman"/>
        </w:rPr>
      </w:pPr>
    </w:p>
    <w:p>
      <w:pPr>
        <w:spacing w:line="0" w:lineRule="atLeast"/>
        <w:ind w:left="7"/>
        <w:rPr>
          <w:rFonts w:ascii="Times New Roman" w:hAnsi="Times New Roman" w:eastAsia="Times New Roman"/>
        </w:rPr>
      </w:pPr>
      <w:r>
        <w:rPr>
          <w:rFonts w:ascii="Times New Roman" w:hAnsi="Times New Roman" w:eastAsia="Times New Roman"/>
          <w:b/>
        </w:rPr>
        <w:t xml:space="preserve">Key words: </w:t>
      </w:r>
      <w:r>
        <w:rPr>
          <w:rFonts w:ascii="Times New Roman" w:hAnsi="Times New Roman" w:eastAsia="Times New Roman"/>
        </w:rPr>
        <w:t>workflow, ontology, model, interface, adaptation.</w:t>
      </w:r>
    </w:p>
    <w:p>
      <w:pPr>
        <w:spacing w:line="235" w:lineRule="exact"/>
        <w:rPr>
          <w:rFonts w:ascii="Times New Roman" w:hAnsi="Times New Roman" w:eastAsia="Times New Roman"/>
        </w:rPr>
      </w:pPr>
    </w:p>
    <w:p>
      <w:pPr>
        <w:spacing w:line="239" w:lineRule="auto"/>
        <w:ind w:left="7" w:firstLine="284"/>
        <w:jc w:val="both"/>
        <w:rPr>
          <w:rFonts w:ascii="Times New Roman" w:hAnsi="Times New Roman" w:eastAsia="Times New Roman"/>
        </w:rPr>
      </w:pPr>
      <w:r>
        <w:rPr>
          <w:rFonts w:ascii="Times New Roman" w:hAnsi="Times New Roman" w:eastAsia="Times New Roman"/>
        </w:rPr>
        <w:t>АКТУАЛЬНІСТЬ РОБОТИ. Як показує реальний досвід, однією з ключових проблем, що виникають при впровадженні програм системи електронного документообігу, є надмірність і складність інтерфейсу користува-ча. Як правило, інтерфейс додатків не враховує особливості використання програми конкретним користувачем, виконуючим конкретну роль на певному етапі бізнес-процесу. Всі користувачі програми часто бачать один і той же інтерфейс, перевантажений різними елементами управління, що призводить до небажання з боку персо-налу вивчати нову систему і, відповідно, до низької ефективності впровадження систем електронного докумен-тообігу. Уникнути цих проблем можна шляхом автоматичної адаптації інтерфейсу додатку до конкретних кате-горій і задач користувачів і до ситуацій, що виникають в процесі роботи з документами.</w:t>
      </w:r>
    </w:p>
    <w:p>
      <w:pPr>
        <w:spacing w:line="7" w:lineRule="exact"/>
        <w:rPr>
          <w:rFonts w:ascii="Times New Roman" w:hAnsi="Times New Roman" w:eastAsia="Times New Roman"/>
        </w:rPr>
      </w:pPr>
    </w:p>
    <w:p>
      <w:pPr>
        <w:spacing w:line="0" w:lineRule="atLeast"/>
        <w:ind w:left="7" w:firstLine="284"/>
        <w:jc w:val="both"/>
        <w:rPr>
          <w:rFonts w:ascii="Times New Roman" w:hAnsi="Times New Roman" w:eastAsia="Times New Roman"/>
        </w:rPr>
      </w:pPr>
      <w:r>
        <w:rPr>
          <w:rFonts w:ascii="Times New Roman" w:hAnsi="Times New Roman" w:eastAsia="Times New Roman"/>
        </w:rPr>
        <w:t>Для досягнення цієї меті необхідно зокрема розробити модель онтології предметної області «Документоо-біг» та модель сценарію діалогу інтерфейсу та користувача. Ця задача вирішується в даній роботі.</w:t>
      </w:r>
    </w:p>
    <w:p>
      <w:pPr>
        <w:spacing w:line="1" w:lineRule="exact"/>
        <w:rPr>
          <w:rFonts w:ascii="Times New Roman" w:hAnsi="Times New Roman" w:eastAsia="Times New Roman"/>
        </w:rPr>
      </w:pPr>
    </w:p>
    <w:p>
      <w:pPr>
        <w:spacing w:line="0" w:lineRule="atLeast"/>
        <w:ind w:left="7" w:leftChars="0" w:firstLine="278" w:firstLineChars="139"/>
        <w:jc w:val="both"/>
        <w:rPr>
          <w:rFonts w:ascii="Times New Roman" w:hAnsi="Times New Roman" w:eastAsia="Times New Roman"/>
        </w:rPr>
      </w:pPr>
      <w:r>
        <w:rPr>
          <w:rFonts w:ascii="Times New Roman" w:hAnsi="Times New Roman" w:eastAsia="Times New Roman"/>
        </w:rPr>
        <w:t>МАТЕРІАЛ І РЕЗУЛЬТАТИ ДОСЛІДЖЕНЬ. Загальна модель інтерфейсу з точки зору аналітика складається</w:t>
      </w:r>
      <w:r>
        <w:rPr>
          <w:rFonts w:ascii="Times New Roman" w:hAnsi="Times New Roman" w:eastAsia="Times New Roman"/>
          <w:lang w:val="uk-UA"/>
        </w:rPr>
        <w:t xml:space="preserve"> з </w:t>
      </w:r>
      <w:r>
        <w:rPr>
          <w:rFonts w:ascii="Times New Roman" w:hAnsi="Times New Roman" w:eastAsia="Times New Roman"/>
        </w:rPr>
        <w:t>наступних компонентів: моделі системи понять користувача (онтологія), моделі сценарію діалогу та моделі подання. Моделі зв’язку з прикладною програмою розробляє програміст.</w:t>
      </w:r>
    </w:p>
    <w:p>
      <w:pPr>
        <w:spacing w:line="0" w:lineRule="atLeast"/>
        <w:ind w:left="7" w:firstLine="284"/>
        <w:jc w:val="both"/>
        <w:rPr>
          <w:rFonts w:ascii="Times New Roman" w:hAnsi="Times New Roman" w:eastAsia="Times New Roman"/>
        </w:rPr>
      </w:pPr>
      <w:r>
        <w:rPr>
          <w:rFonts w:ascii="Times New Roman" w:hAnsi="Times New Roman" w:eastAsia="Times New Roman"/>
        </w:rPr>
        <w:t>Онтологія як така описує, що саме користувач може робити з системою і які концепти (сутності) йому необ-хідно при цьому знати і використовувати. Об'єкти онтоло</w:t>
      </w:r>
      <w:bookmarkStart w:id="2" w:name="_GoBack"/>
      <w:bookmarkEnd w:id="2"/>
      <w:r>
        <w:rPr>
          <w:rFonts w:ascii="Times New Roman" w:hAnsi="Times New Roman" w:eastAsia="Times New Roman"/>
        </w:rPr>
        <w:t>гії – це, насамперед, сутності, тобто ці об'єкти, які входять в концептуальну модель предметної області, наприклад, «Документ» або «Виконавець». Серед сутнос-тей є активні об'єкти – користувачі різних категорій (ролей).</w:t>
      </w:r>
    </w:p>
    <w:p>
      <w:pPr>
        <w:spacing w:line="2" w:lineRule="exact"/>
        <w:rPr>
          <w:rFonts w:ascii="Times New Roman" w:hAnsi="Times New Roman" w:eastAsia="Times New Roman"/>
        </w:rPr>
      </w:pPr>
    </w:p>
    <w:p>
      <w:pPr>
        <w:numPr>
          <w:ilvl w:val="1"/>
          <w:numId w:val="1"/>
        </w:numPr>
        <w:tabs>
          <w:tab w:val="left" w:pos="490"/>
        </w:tabs>
        <w:spacing w:line="239" w:lineRule="auto"/>
        <w:ind w:left="7" w:firstLine="276"/>
        <w:jc w:val="both"/>
        <w:rPr>
          <w:rFonts w:ascii="Times New Roman" w:hAnsi="Times New Roman" w:eastAsia="Times New Roman"/>
        </w:rPr>
      </w:pPr>
      <w:r>
        <w:rPr>
          <w:rFonts w:ascii="Times New Roman" w:hAnsi="Times New Roman" w:eastAsia="Times New Roman"/>
        </w:rPr>
        <w:t>онтологію входять також керуючі об'єкти, які служать зв'язком між активними та пасивними об'єктами і об'єктами-сутностями. Керуючі об'єкти реалізують логіку програми, тобто використовуються для координації та встановлення послідовності дій згідно сценаріїв. Між об’єктами предметної області існують певні відношен-ня, яки також потрібно відобразити в моделі онтології.</w:t>
      </w:r>
    </w:p>
    <w:p>
      <w:pPr>
        <w:spacing w:line="3" w:lineRule="exact"/>
        <w:rPr>
          <w:rFonts w:ascii="Times New Roman" w:hAnsi="Times New Roman" w:eastAsia="Times New Roman"/>
        </w:rPr>
      </w:pPr>
    </w:p>
    <w:p>
      <w:pPr>
        <w:spacing w:line="237" w:lineRule="auto"/>
        <w:ind w:left="287"/>
        <w:rPr>
          <w:rFonts w:ascii="Times New Roman" w:hAnsi="Times New Roman" w:eastAsia="Times New Roman"/>
        </w:rPr>
      </w:pPr>
      <w:r>
        <w:rPr>
          <w:rFonts w:ascii="Times New Roman" w:hAnsi="Times New Roman" w:eastAsia="Times New Roman"/>
        </w:rPr>
        <w:t>Уявімо онтологію предметної області, з урахуванням сказаного вище, у вигляді:</w:t>
      </w:r>
    </w:p>
    <w:tbl>
      <w:tblPr>
        <w:tblStyle w:val="3"/>
        <w:tblW w:w="6800" w:type="dxa"/>
        <w:tblInd w:w="270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560"/>
        <w:gridCol w:w="12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0" w:hRule="atLeast"/>
        </w:trPr>
        <w:tc>
          <w:tcPr>
            <w:tcW w:w="5560" w:type="dxa"/>
            <w:shd w:val="clear" w:color="auto" w:fill="auto"/>
            <w:vAlign w:val="bottom"/>
          </w:tcPr>
          <w:p>
            <w:pPr>
              <w:spacing w:line="0" w:lineRule="atLeast"/>
              <w:rPr>
                <w:rFonts w:ascii="Times New Roman" w:hAnsi="Times New Roman" w:eastAsia="Times New Roman"/>
              </w:rPr>
            </w:pPr>
            <w:r>
              <w:rPr>
                <w:rFonts w:ascii="Times New Roman" w:hAnsi="Times New Roman" w:eastAsia="Times New Roman"/>
                <w:i/>
              </w:rPr>
              <w:t xml:space="preserve">O = &lt;PE(AP), AЕ(АA, RА, АS), R1, R2, CO, АR, FЕ &gt; </w:t>
            </w:r>
            <w:r>
              <w:rPr>
                <w:rFonts w:ascii="Times New Roman" w:hAnsi="Times New Roman" w:eastAsia="Times New Roman"/>
              </w:rPr>
              <w:t>,</w:t>
            </w:r>
          </w:p>
        </w:tc>
        <w:tc>
          <w:tcPr>
            <w:tcW w:w="1240" w:type="dxa"/>
            <w:shd w:val="clear" w:color="auto" w:fill="auto"/>
            <w:vAlign w:val="bottom"/>
          </w:tcPr>
          <w:p>
            <w:pPr>
              <w:spacing w:line="0" w:lineRule="atLeast"/>
              <w:jc w:val="right"/>
              <w:rPr>
                <w:rFonts w:ascii="Times New Roman" w:hAnsi="Times New Roman" w:eastAsia="Times New Roman"/>
              </w:rPr>
            </w:pPr>
            <w:r>
              <w:rPr>
                <w:rFonts w:ascii="Times New Roman" w:hAnsi="Times New Roman" w:eastAsia="Times New Roman"/>
              </w:rPr>
              <w:t>(1)</w:t>
            </w:r>
          </w:p>
        </w:tc>
      </w:tr>
    </w:tbl>
    <w:p>
      <w:pPr>
        <w:spacing w:line="247" w:lineRule="auto"/>
        <w:ind w:left="7"/>
        <w:jc w:val="both"/>
        <w:rPr>
          <w:rFonts w:ascii="Times New Roman" w:hAnsi="Times New Roman" w:eastAsia="Times New Roman"/>
        </w:rPr>
      </w:pPr>
      <w:r>
        <w:rPr>
          <w:rFonts w:ascii="Times New Roman" w:hAnsi="Times New Roman" w:eastAsia="Times New Roman"/>
        </w:rPr>
        <w:t xml:space="preserve">де </w:t>
      </w:r>
      <w:r>
        <w:rPr>
          <w:rFonts w:ascii="Times New Roman" w:hAnsi="Times New Roman" w:eastAsia="Times New Roman"/>
          <w:i/>
        </w:rPr>
        <w:t>PЕ</w:t>
      </w:r>
      <w:r>
        <w:rPr>
          <w:rFonts w:ascii="Times New Roman" w:hAnsi="Times New Roman" w:eastAsia="Times New Roman"/>
        </w:rPr>
        <w:t xml:space="preserve"> – множина пасивних сутностей, </w:t>
      </w:r>
      <w:r>
        <w:rPr>
          <w:rFonts w:ascii="Times New Roman" w:hAnsi="Times New Roman" w:eastAsia="Times New Roman"/>
          <w:i/>
        </w:rPr>
        <w:t>AP</w:t>
      </w:r>
      <w:r>
        <w:rPr>
          <w:rFonts w:ascii="Times New Roman" w:hAnsi="Times New Roman" w:eastAsia="Times New Roman"/>
        </w:rPr>
        <w:t xml:space="preserve"> – множина атрибутів пасивних сутностей, </w:t>
      </w:r>
      <w:r>
        <w:rPr>
          <w:rFonts w:ascii="Times New Roman" w:hAnsi="Times New Roman" w:eastAsia="Times New Roman"/>
          <w:i/>
        </w:rPr>
        <w:t>AE</w:t>
      </w:r>
      <w:r>
        <w:rPr>
          <w:rFonts w:ascii="Times New Roman" w:hAnsi="Times New Roman" w:eastAsia="Times New Roman"/>
        </w:rPr>
        <w:t xml:space="preserve"> – множина активних сутностей, </w:t>
      </w:r>
      <w:r>
        <w:rPr>
          <w:rFonts w:ascii="Times New Roman" w:hAnsi="Times New Roman" w:eastAsia="Times New Roman"/>
          <w:i/>
        </w:rPr>
        <w:t>AA</w:t>
      </w:r>
      <w:r>
        <w:rPr>
          <w:rFonts w:ascii="Times New Roman" w:hAnsi="Times New Roman" w:eastAsia="Times New Roman"/>
        </w:rPr>
        <w:t xml:space="preserve"> – множина атрибутів активних сутностей, </w:t>
      </w:r>
      <w:r>
        <w:rPr>
          <w:rFonts w:ascii="Times New Roman" w:hAnsi="Times New Roman" w:eastAsia="Times New Roman"/>
          <w:i/>
        </w:rPr>
        <w:t>RА</w:t>
      </w:r>
      <w:r>
        <w:rPr>
          <w:rFonts w:ascii="Times New Roman" w:hAnsi="Times New Roman" w:eastAsia="Times New Roman"/>
        </w:rPr>
        <w:t xml:space="preserve"> – ролі активних сутностей, </w:t>
      </w:r>
      <w:r>
        <w:rPr>
          <w:rFonts w:ascii="Times New Roman" w:hAnsi="Times New Roman" w:eastAsia="Times New Roman"/>
          <w:i/>
        </w:rPr>
        <w:t>АS –</w:t>
      </w:r>
      <w:r>
        <w:rPr>
          <w:rFonts w:ascii="Times New Roman" w:hAnsi="Times New Roman" w:eastAsia="Times New Roman"/>
        </w:rPr>
        <w:t xml:space="preserve"> множина аспектів</w:t>
      </w:r>
    </w:p>
    <w:p>
      <w:pPr>
        <w:spacing w:line="2" w:lineRule="exact"/>
        <w:rPr>
          <w:rFonts w:ascii="Times New Roman" w:hAnsi="Times New Roman" w:eastAsia="Times New Roman"/>
        </w:rPr>
      </w:pPr>
    </w:p>
    <w:p>
      <w:pPr>
        <w:spacing w:line="0" w:lineRule="atLeast"/>
        <w:ind w:left="7"/>
        <w:jc w:val="both"/>
        <w:rPr>
          <w:rFonts w:ascii="Times New Roman" w:hAnsi="Times New Roman" w:eastAsia="Times New Roman"/>
        </w:rPr>
      </w:pPr>
      <w:r>
        <w:rPr>
          <w:rFonts w:ascii="Times New Roman" w:hAnsi="Times New Roman" w:eastAsia="Times New Roman"/>
        </w:rPr>
        <w:t xml:space="preserve">функціонування активних сутностей, </w:t>
      </w:r>
      <w:r>
        <w:rPr>
          <w:rFonts w:ascii="Times New Roman" w:hAnsi="Times New Roman" w:eastAsia="Times New Roman"/>
          <w:i/>
        </w:rPr>
        <w:t>R1</w:t>
      </w:r>
      <w:r>
        <w:rPr>
          <w:rFonts w:ascii="Symbol" w:hAnsi="Symbol" w:eastAsia="Symbol"/>
          <w:i/>
        </w:rPr>
        <w:t></w:t>
      </w:r>
      <w:r>
        <w:rPr>
          <w:rFonts w:ascii="Times New Roman" w:hAnsi="Times New Roman" w:eastAsia="Times New Roman"/>
          <w:i/>
        </w:rPr>
        <w:t>Е</w:t>
      </w:r>
      <w:r>
        <w:rPr>
          <w:rFonts w:ascii="Symbol" w:hAnsi="Symbol" w:eastAsia="Symbol"/>
          <w:i/>
        </w:rPr>
        <w:t></w:t>
      </w:r>
      <w:r>
        <w:rPr>
          <w:rFonts w:ascii="Times New Roman" w:hAnsi="Times New Roman" w:eastAsia="Times New Roman"/>
          <w:i/>
        </w:rPr>
        <w:t>ЕА</w:t>
      </w:r>
      <w:r>
        <w:rPr>
          <w:rFonts w:ascii="Times New Roman" w:hAnsi="Times New Roman" w:eastAsia="Times New Roman"/>
        </w:rPr>
        <w:t xml:space="preserve"> </w:t>
      </w:r>
      <w:r>
        <w:rPr>
          <w:rFonts w:ascii="Times New Roman" w:hAnsi="Times New Roman" w:eastAsia="Times New Roman"/>
          <w:i/>
        </w:rPr>
        <w:t>–</w:t>
      </w:r>
      <w:r>
        <w:rPr>
          <w:rFonts w:ascii="Times New Roman" w:hAnsi="Times New Roman" w:eastAsia="Times New Roman"/>
        </w:rPr>
        <w:t xml:space="preserve"> відношення пасивних та активних сутностей, </w:t>
      </w:r>
      <w:r>
        <w:rPr>
          <w:rFonts w:ascii="Times New Roman" w:hAnsi="Times New Roman" w:eastAsia="Times New Roman"/>
          <w:i/>
        </w:rPr>
        <w:t>R2</w:t>
      </w:r>
      <w:r>
        <w:rPr>
          <w:rFonts w:ascii="Symbol" w:hAnsi="Symbol" w:eastAsia="Symbol"/>
          <w:i/>
        </w:rPr>
        <w:t></w:t>
      </w:r>
      <w:r>
        <w:rPr>
          <w:rFonts w:ascii="Times New Roman" w:hAnsi="Times New Roman" w:eastAsia="Times New Roman"/>
          <w:i/>
        </w:rPr>
        <w:t>RА</w:t>
      </w:r>
      <w:r>
        <w:rPr>
          <w:rFonts w:ascii="Symbol" w:hAnsi="Symbol" w:eastAsia="Symbol"/>
          <w:i/>
        </w:rPr>
        <w:t></w:t>
      </w:r>
      <w:r>
        <w:rPr>
          <w:rFonts w:ascii="Times New Roman" w:hAnsi="Times New Roman" w:eastAsia="Times New Roman"/>
          <w:i/>
        </w:rPr>
        <w:t>RА</w:t>
      </w:r>
      <w:r>
        <w:rPr>
          <w:rFonts w:ascii="Times New Roman" w:hAnsi="Times New Roman" w:eastAsia="Times New Roman"/>
        </w:rPr>
        <w:t xml:space="preserve"> – відношення між ролями активних сутностей (відношення </w:t>
      </w:r>
      <w:r>
        <w:rPr>
          <w:rFonts w:ascii="Times New Roman" w:hAnsi="Times New Roman" w:eastAsia="Times New Roman"/>
          <w:i/>
        </w:rPr>
        <w:t>R1</w:t>
      </w:r>
      <w:r>
        <w:rPr>
          <w:rFonts w:ascii="Times New Roman" w:hAnsi="Times New Roman" w:eastAsia="Times New Roman"/>
        </w:rPr>
        <w:t xml:space="preserve"> і </w:t>
      </w:r>
      <w:r>
        <w:rPr>
          <w:rFonts w:ascii="Times New Roman" w:hAnsi="Times New Roman" w:eastAsia="Times New Roman"/>
          <w:i/>
        </w:rPr>
        <w:t>R2</w:t>
      </w:r>
      <w:r>
        <w:rPr>
          <w:rFonts w:ascii="Times New Roman" w:hAnsi="Times New Roman" w:eastAsia="Times New Roman"/>
        </w:rPr>
        <w:t xml:space="preserve"> вербально визначено у регламенті електрон-</w:t>
      </w:r>
    </w:p>
    <w:p>
      <w:pPr>
        <w:spacing w:line="233" w:lineRule="auto"/>
        <w:ind w:left="7"/>
        <w:rPr>
          <w:rFonts w:ascii="Times New Roman" w:hAnsi="Times New Roman" w:eastAsia="Times New Roman"/>
        </w:rPr>
      </w:pPr>
      <w:r>
        <w:rPr>
          <w:rFonts w:ascii="Times New Roman" w:hAnsi="Times New Roman" w:eastAsia="Times New Roman"/>
        </w:rPr>
        <w:t xml:space="preserve">ного документообігу), </w:t>
      </w:r>
      <w:r>
        <w:rPr>
          <w:rFonts w:ascii="Times New Roman" w:hAnsi="Times New Roman" w:eastAsia="Times New Roman"/>
          <w:i/>
        </w:rPr>
        <w:t>CO:Е</w:t>
      </w:r>
      <w:r>
        <w:rPr>
          <w:rFonts w:ascii="Symbol" w:hAnsi="Symbol" w:eastAsia="Symbol"/>
          <w:i/>
        </w:rPr>
        <w:t></w:t>
      </w:r>
      <w:r>
        <w:rPr>
          <w:rFonts w:ascii="Times New Roman" w:hAnsi="Times New Roman" w:eastAsia="Times New Roman"/>
          <w:i/>
        </w:rPr>
        <w:t>ЕR</w:t>
      </w:r>
      <w:r>
        <w:rPr>
          <w:rFonts w:ascii="Times New Roman" w:hAnsi="Times New Roman" w:eastAsia="Times New Roman"/>
        </w:rPr>
        <w:t xml:space="preserve"> – керуючі об’єкті, що реалізують функції інтерпретації відношень між сутнос-тями, </w:t>
      </w:r>
      <w:r>
        <w:rPr>
          <w:rFonts w:ascii="Times New Roman" w:hAnsi="Times New Roman" w:eastAsia="Times New Roman"/>
          <w:i/>
        </w:rPr>
        <w:t>АR</w:t>
      </w:r>
      <w:r>
        <w:rPr>
          <w:rFonts w:ascii="Symbol" w:hAnsi="Symbol" w:eastAsia="Symbol"/>
          <w:i/>
        </w:rPr>
        <w:t></w:t>
      </w:r>
      <w:r>
        <w:rPr>
          <w:rFonts w:ascii="Times New Roman" w:hAnsi="Times New Roman" w:eastAsia="Times New Roman"/>
          <w:i/>
        </w:rPr>
        <w:t>АS</w:t>
      </w:r>
      <w:r>
        <w:rPr>
          <w:rFonts w:ascii="Symbol" w:hAnsi="Symbol" w:eastAsia="Symbol"/>
          <w:i/>
        </w:rPr>
        <w:t></w:t>
      </w:r>
      <w:r>
        <w:rPr>
          <w:rFonts w:ascii="Times New Roman" w:hAnsi="Times New Roman" w:eastAsia="Times New Roman"/>
          <w:i/>
        </w:rPr>
        <w:t>АS</w:t>
      </w:r>
      <w:r>
        <w:rPr>
          <w:rFonts w:ascii="Times New Roman" w:hAnsi="Times New Roman" w:eastAsia="Times New Roman"/>
        </w:rPr>
        <w:t xml:space="preserve"> – перетин аспектів функціонування окремих ролей, </w:t>
      </w:r>
      <w:r>
        <w:rPr>
          <w:rFonts w:ascii="Times New Roman" w:hAnsi="Times New Roman" w:eastAsia="Times New Roman"/>
          <w:i/>
        </w:rPr>
        <w:t>FЕ</w:t>
      </w:r>
      <w:r>
        <w:rPr>
          <w:rFonts w:ascii="Times New Roman" w:hAnsi="Times New Roman" w:eastAsia="Times New Roman"/>
        </w:rPr>
        <w:t xml:space="preserve"> – потоки подій у системі.</w:t>
      </w:r>
    </w:p>
    <w:p>
      <w:pPr>
        <w:spacing w:line="0" w:lineRule="atLeast"/>
        <w:ind w:left="7" w:firstLine="284"/>
        <w:jc w:val="both"/>
        <w:rPr>
          <w:rFonts w:ascii="Times New Roman" w:hAnsi="Times New Roman" w:eastAsia="Times New Roman"/>
        </w:rPr>
      </w:pPr>
      <w:r>
        <w:rPr>
          <w:rFonts w:ascii="Times New Roman" w:hAnsi="Times New Roman" w:eastAsia="Times New Roman"/>
        </w:rPr>
        <w:t>Для розробки моделі сценаріїв діалогу необхідно на основі регламенту документообігу сформувати послідо-вності подій, що відбуваються на робочому місці користувача. Ці послідовності залежать від ролі користувача, та робочої ситуації, яка склалася на даний час на даному робочому місці.</w:t>
      </w:r>
    </w:p>
    <w:p>
      <w:pPr>
        <w:spacing w:line="0" w:lineRule="atLeast"/>
        <w:ind w:left="287"/>
        <w:rPr>
          <w:rFonts w:ascii="Times New Roman" w:hAnsi="Times New Roman" w:eastAsia="Times New Roman"/>
        </w:rPr>
      </w:pPr>
      <w:r>
        <w:rPr>
          <w:rFonts w:ascii="Times New Roman" w:hAnsi="Times New Roman" w:eastAsia="Times New Roman"/>
        </w:rPr>
        <w:t>Модель діалогу с користувачем можна визначити набором:</w:t>
      </w:r>
    </w:p>
    <w:p>
      <w:pPr>
        <w:tabs>
          <w:tab w:val="left" w:pos="9227"/>
        </w:tabs>
        <w:spacing w:line="234" w:lineRule="auto"/>
        <w:ind w:left="3927"/>
        <w:rPr>
          <w:rFonts w:ascii="Times New Roman" w:hAnsi="Times New Roman" w:eastAsia="Times New Roman"/>
        </w:rPr>
      </w:pPr>
      <w:r>
        <w:rPr>
          <w:rFonts w:ascii="Times New Roman" w:hAnsi="Times New Roman" w:eastAsia="Times New Roman"/>
          <w:i/>
        </w:rPr>
        <w:t>DS = &lt;L, RD, SR, SP &gt;,</w:t>
      </w:r>
      <w:r>
        <w:rPr>
          <w:rFonts w:ascii="Times New Roman" w:hAnsi="Times New Roman" w:eastAsia="Times New Roman"/>
        </w:rPr>
        <w:tab/>
      </w:r>
      <w:r>
        <w:rPr>
          <w:rFonts w:ascii="Times New Roman" w:hAnsi="Times New Roman" w:eastAsia="Times New Roman"/>
        </w:rPr>
        <w:t>(2)</w:t>
      </w:r>
    </w:p>
    <w:p>
      <w:pPr>
        <w:spacing w:line="1" w:lineRule="exact"/>
        <w:rPr>
          <w:rFonts w:ascii="Times New Roman" w:hAnsi="Times New Roman" w:eastAsia="Times New Roman"/>
        </w:rPr>
      </w:pPr>
    </w:p>
    <w:p>
      <w:pPr>
        <w:spacing w:line="215" w:lineRule="auto"/>
        <w:ind w:left="7" w:right="20"/>
        <w:jc w:val="both"/>
        <w:rPr>
          <w:rFonts w:ascii="Times New Roman" w:hAnsi="Times New Roman" w:eastAsia="Times New Roman"/>
        </w:rPr>
      </w:pPr>
      <w:r>
        <w:rPr>
          <w:rFonts w:ascii="Times New Roman" w:hAnsi="Times New Roman" w:eastAsia="Times New Roman"/>
        </w:rPr>
        <w:t xml:space="preserve">де </w:t>
      </w:r>
      <w:r>
        <w:rPr>
          <w:rFonts w:ascii="Times New Roman" w:hAnsi="Times New Roman" w:eastAsia="Times New Roman"/>
          <w:i/>
        </w:rPr>
        <w:t>L</w:t>
      </w:r>
      <w:r>
        <w:rPr>
          <w:rFonts w:ascii="Times New Roman" w:hAnsi="Times New Roman" w:eastAsia="Times New Roman"/>
        </w:rPr>
        <w:t xml:space="preserve"> – мова діалогу, </w:t>
      </w:r>
      <w:r>
        <w:rPr>
          <w:rFonts w:ascii="Times New Roman" w:hAnsi="Times New Roman" w:eastAsia="Times New Roman"/>
          <w:i/>
        </w:rPr>
        <w:t>RD</w:t>
      </w:r>
      <w:r>
        <w:rPr>
          <w:rFonts w:ascii="Times New Roman" w:hAnsi="Times New Roman" w:eastAsia="Times New Roman"/>
        </w:rPr>
        <w:t xml:space="preserve"> – правила формування представлення, </w:t>
      </w:r>
      <w:r>
        <w:rPr>
          <w:rFonts w:ascii="Times New Roman" w:hAnsi="Times New Roman" w:eastAsia="Times New Roman"/>
          <w:i/>
        </w:rPr>
        <w:t>SR</w:t>
      </w:r>
      <w:r>
        <w:rPr>
          <w:rFonts w:ascii="Times New Roman" w:hAnsi="Times New Roman" w:eastAsia="Times New Roman"/>
        </w:rPr>
        <w:t xml:space="preserve"> – множина стандартних повідомлень, </w:t>
      </w:r>
      <w:r>
        <w:rPr>
          <w:rFonts w:ascii="Times New Roman" w:hAnsi="Times New Roman" w:eastAsia="Times New Roman"/>
          <w:i/>
        </w:rPr>
        <w:t>P</w:t>
      </w:r>
      <w:r>
        <w:rPr>
          <w:rFonts w:ascii="Times New Roman" w:hAnsi="Times New Roman" w:eastAsia="Times New Roman"/>
          <w:i/>
          <w:sz w:val="25"/>
          <w:vertAlign w:val="subscript"/>
        </w:rPr>
        <w:t>М</w:t>
      </w:r>
      <w:r>
        <w:rPr>
          <w:rFonts w:ascii="Times New Roman" w:hAnsi="Times New Roman" w:eastAsia="Times New Roman"/>
        </w:rPr>
        <w:t xml:space="preserve"> – процедура логічної обробки поточної ситуації.</w:t>
      </w:r>
    </w:p>
    <w:p>
      <w:pPr>
        <w:spacing w:line="256" w:lineRule="auto"/>
        <w:ind w:left="7" w:firstLine="284"/>
        <w:jc w:val="both"/>
        <w:rPr>
          <w:rFonts w:ascii="Times New Roman" w:hAnsi="Times New Roman" w:eastAsia="Times New Roman"/>
        </w:rPr>
      </w:pPr>
      <w:r>
        <w:rPr>
          <w:rFonts w:ascii="Times New Roman" w:hAnsi="Times New Roman" w:eastAsia="Times New Roman"/>
        </w:rPr>
        <w:t>ВИСНОВКИ. Розроблено модель онтології предметної області «Документообіг» та модель діалогу с корис-тувачем. Ці моделі є частиною комплексу моделей і алгоритмів, що застосовані в інформаційній технології ада-птації інтерфейсу системи електронного документообігу до поточних задач і ролі користувача.</w:t>
      </w:r>
    </w:p>
    <w:p>
      <w:pPr>
        <w:spacing w:line="200" w:lineRule="exact"/>
        <w:rPr>
          <w:rFonts w:ascii="Times New Roman" w:hAnsi="Times New Roman" w:eastAsia="Times New Roman"/>
        </w:rPr>
      </w:pPr>
    </w:p>
    <w:p>
      <w:pPr>
        <w:spacing w:line="215" w:lineRule="exact"/>
        <w:rPr>
          <w:rFonts w:ascii="Times New Roman" w:hAnsi="Times New Roman" w:eastAsia="Times New Roman"/>
        </w:rPr>
      </w:pPr>
    </w:p>
    <w:p>
      <w:pPr>
        <w:spacing w:line="0" w:lineRule="atLeast"/>
        <w:ind w:right="13"/>
        <w:jc w:val="center"/>
        <w:rPr>
          <w:rFonts w:ascii="Times New Roman" w:hAnsi="Times New Roman" w:eastAsia="Times New Roman"/>
          <w:b/>
        </w:rPr>
      </w:pPr>
      <w:r>
        <w:rPr>
          <w:rFonts w:ascii="Times New Roman" w:hAnsi="Times New Roman" w:eastAsia="Times New Roman"/>
          <w:b/>
        </w:rPr>
        <w:t>ВОЛЬТАМПЕРОМЕТРИЧНЕ ДОСЛІДЖЕННЯ КАТАЛІТИЧНИХ REDOX-ПРОЦЕСІВ ЗА УЧАСТЮ МЕЛАТОНІНУ ТА ГЛУТАТІОНУ.</w:t>
      </w:r>
    </w:p>
    <w:p>
      <w:pPr>
        <w:spacing w:line="1" w:lineRule="exact"/>
        <w:rPr>
          <w:rFonts w:ascii="Times New Roman" w:hAnsi="Times New Roman" w:eastAsia="Times New Roman"/>
        </w:rPr>
      </w:pPr>
    </w:p>
    <w:p>
      <w:pPr>
        <w:spacing w:line="0" w:lineRule="atLeast"/>
        <w:ind w:left="7"/>
        <w:rPr>
          <w:rFonts w:ascii="Times New Roman" w:hAnsi="Times New Roman" w:eastAsia="Times New Roman"/>
          <w:b/>
        </w:rPr>
      </w:pPr>
      <w:r>
        <w:rPr>
          <w:rFonts w:ascii="Times New Roman" w:hAnsi="Times New Roman" w:eastAsia="Times New Roman"/>
          <w:b/>
        </w:rPr>
        <w:t>Соловйов В.В., Кузнецова Т.Ю.</w:t>
      </w:r>
    </w:p>
    <w:p>
      <w:pPr>
        <w:spacing w:line="239" w:lineRule="auto"/>
        <w:ind w:left="7" w:right="2600"/>
        <w:rPr>
          <w:rFonts w:ascii="Times New Roman" w:hAnsi="Times New Roman" w:eastAsia="Times New Roman"/>
        </w:rPr>
      </w:pPr>
      <w:r>
        <w:rPr>
          <w:rFonts w:ascii="Times New Roman" w:hAnsi="Times New Roman" w:eastAsia="Times New Roman"/>
        </w:rPr>
        <w:t>Полтавський національний технічний університет імені Юрія Кондратюка, просп. Першотравневий,24, м. Полтава, 36011, Україна. Е-mail: KZT7@yandex.ru</w:t>
      </w:r>
    </w:p>
    <w:p>
      <w:pPr>
        <w:spacing w:line="1" w:lineRule="exact"/>
        <w:rPr>
          <w:rFonts w:ascii="Times New Roman" w:hAnsi="Times New Roman" w:eastAsia="Times New Roman"/>
        </w:rPr>
      </w:pPr>
    </w:p>
    <w:p>
      <w:pPr>
        <w:spacing w:line="0" w:lineRule="atLeast"/>
        <w:ind w:left="7"/>
        <w:rPr>
          <w:rFonts w:ascii="Times New Roman" w:hAnsi="Times New Roman" w:eastAsia="Times New Roman"/>
          <w:b/>
        </w:rPr>
      </w:pPr>
      <w:r>
        <w:rPr>
          <w:rFonts w:ascii="Times New Roman" w:hAnsi="Times New Roman" w:eastAsia="Times New Roman"/>
          <w:b/>
        </w:rPr>
        <w:t>Омельчук А.О.</w:t>
      </w:r>
    </w:p>
    <w:p>
      <w:pPr>
        <w:spacing w:line="0" w:lineRule="atLeast"/>
        <w:ind w:left="7" w:right="3180"/>
        <w:rPr>
          <w:rFonts w:ascii="Times New Roman" w:hAnsi="Times New Roman" w:eastAsia="Times New Roman"/>
        </w:rPr>
      </w:pPr>
      <w:r>
        <w:rPr>
          <w:rFonts w:ascii="Times New Roman" w:hAnsi="Times New Roman" w:eastAsia="Times New Roman"/>
        </w:rPr>
        <w:t>Інститут загальної та неорганічної хімії ім. В.І. Вернадського НАН України вул. Академіка Палладіна, 32/34, м. Київ, 03142, Україна.</w:t>
      </w:r>
    </w:p>
    <w:p>
      <w:pPr>
        <w:spacing w:line="1" w:lineRule="exact"/>
        <w:rPr>
          <w:rFonts w:ascii="Times New Roman" w:hAnsi="Times New Roman" w:eastAsia="Times New Roman"/>
        </w:rPr>
      </w:pPr>
    </w:p>
    <w:p>
      <w:pPr>
        <w:spacing w:line="0" w:lineRule="atLeast"/>
        <w:ind w:left="7"/>
        <w:rPr>
          <w:rFonts w:ascii="Times New Roman" w:hAnsi="Times New Roman" w:eastAsia="Times New Roman"/>
        </w:rPr>
      </w:pPr>
      <w:r>
        <w:rPr>
          <w:rFonts w:ascii="Times New Roman" w:hAnsi="Times New Roman" w:eastAsia="Times New Roman"/>
        </w:rPr>
        <w:t>Проведені електрохімічні дослідження, які підтвердили антирадикальні властивості ендооксидантів. На макро-</w:t>
      </w:r>
    </w:p>
    <w:p>
      <w:pPr>
        <w:spacing w:line="20" w:lineRule="exact"/>
        <w:rPr>
          <w:rFonts w:ascii="Times New Roman" w:hAnsi="Times New Roman" w:eastAsia="Times New Roman"/>
        </w:rPr>
      </w:pPr>
      <w:r>
        <w:rPr>
          <w:rFonts w:ascii="Times New Roman" w:hAnsi="Times New Roman" w:eastAsia="Times New Roman"/>
        </w:rPr>
        <w:drawing>
          <wp:anchor distT="0" distB="0" distL="114300" distR="114300" simplePos="0" relativeHeight="252387328" behindDoc="1" locked="0" layoutInCell="1" allowOverlap="1">
            <wp:simplePos x="0" y="0"/>
            <wp:positionH relativeFrom="column">
              <wp:posOffset>-17780</wp:posOffset>
            </wp:positionH>
            <wp:positionV relativeFrom="paragraph">
              <wp:posOffset>69850</wp:posOffset>
            </wp:positionV>
            <wp:extent cx="6158230" cy="8890"/>
            <wp:effectExtent l="0" t="0" r="0" b="0"/>
            <wp:wrapNone/>
            <wp:docPr id="4" name="Изображение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 3"/>
                    <pic:cNvPicPr>
                      <a:picLocks noChangeAspect="1"/>
                    </pic:cNvPicPr>
                  </pic:nvPicPr>
                  <pic:blipFill>
                    <a:blip r:embed="rId4"/>
                    <a:stretch>
                      <a:fillRect/>
                    </a:stretch>
                  </pic:blipFill>
                  <pic:spPr>
                    <a:xfrm>
                      <a:off x="0" y="0"/>
                      <a:ext cx="6158230" cy="8890"/>
                    </a:xfrm>
                    <a:prstGeom prst="rect">
                      <a:avLst/>
                    </a:prstGeom>
                    <a:noFill/>
                    <a:ln w="9525">
                      <a:noFill/>
                    </a:ln>
                  </pic:spPr>
                </pic:pic>
              </a:graphicData>
            </a:graphic>
          </wp:anchor>
        </w:drawing>
      </w:r>
    </w:p>
    <w:p>
      <w:pPr>
        <w:spacing w:line="118" w:lineRule="exact"/>
        <w:rPr>
          <w:rFonts w:ascii="Times New Roman" w:hAnsi="Times New Roman" w:eastAsia="Times New Roman"/>
        </w:rPr>
      </w:pPr>
    </w:p>
    <w:p>
      <w:pPr>
        <w:spacing w:line="0" w:lineRule="atLeast"/>
        <w:ind w:left="147"/>
        <w:rPr>
          <w:rFonts w:ascii="Times New Roman" w:hAnsi="Times New Roman" w:eastAsia="Times New Roman"/>
        </w:rPr>
      </w:pPr>
      <w:r>
        <w:rPr>
          <w:rFonts w:ascii="Times New Roman" w:hAnsi="Times New Roman" w:eastAsia="Times New Roman"/>
        </w:rPr>
        <w:t>ХVII Міжнародна науково-технічна конференція «Фізичні процеси та поля технічних і біологічних об’єктів»</w:t>
      </w:r>
    </w:p>
    <w:p>
      <w:pPr>
        <w:spacing w:line="0" w:lineRule="atLeast"/>
        <w:ind w:right="13"/>
        <w:jc w:val="center"/>
        <w:rPr>
          <w:rFonts w:ascii="Times New Roman" w:hAnsi="Times New Roman" w:eastAsia="Times New Roman"/>
        </w:rPr>
      </w:pPr>
      <w:r>
        <w:rPr>
          <w:rFonts w:ascii="Times New Roman" w:hAnsi="Times New Roman" w:eastAsia="Times New Roman"/>
        </w:rPr>
        <w:t>205</w:t>
      </w:r>
    </w:p>
    <w:p>
      <w:pPr>
        <w:spacing w:line="0" w:lineRule="atLeast"/>
        <w:ind w:right="13"/>
        <w:jc w:val="center"/>
        <w:rPr>
          <w:rFonts w:ascii="Times New Roman" w:hAnsi="Times New Roman" w:eastAsia="Times New Roman"/>
        </w:rPr>
        <w:sectPr>
          <w:pgSz w:w="11900" w:h="16838"/>
          <w:pgMar w:top="545" w:right="1126" w:bottom="25" w:left="1133" w:header="0" w:footer="0" w:gutter="0"/>
          <w:cols w:equalWidth="0" w:num="1">
            <w:col w:w="9647"/>
          </w:cols>
          <w:docGrid w:linePitch="360" w:charSpace="0"/>
        </w:sectPr>
      </w:pPr>
    </w:p>
    <w:p>
      <w:pPr>
        <w:spacing w:line="0" w:lineRule="atLeast"/>
        <w:ind w:right="13"/>
        <w:jc w:val="center"/>
        <w:rPr>
          <w:rFonts w:ascii="Times New Roman" w:hAnsi="Times New Roman" w:eastAsia="Times New Roman"/>
        </w:rPr>
      </w:pPr>
      <w:bookmarkStart w:id="0" w:name="page207"/>
      <w:bookmarkEnd w:id="0"/>
      <w:r>
        <w:rPr>
          <w:rFonts w:ascii="Times New Roman" w:hAnsi="Times New Roman" w:eastAsia="Times New Roman"/>
        </w:rPr>
        <w:t>МОДЕЛЮВАННЯ ЦІЛЬОВИХ ОПЕРАЦІЙ У ТЕХНІЧНИХ</w:t>
      </w:r>
    </w:p>
    <w:p>
      <w:pPr>
        <w:spacing w:line="3" w:lineRule="exact"/>
        <w:rPr>
          <w:rFonts w:ascii="Times New Roman" w:hAnsi="Times New Roman" w:eastAsia="Times New Roman"/>
        </w:rPr>
      </w:pPr>
    </w:p>
    <w:p>
      <w:pPr>
        <w:spacing w:line="0" w:lineRule="atLeast"/>
        <w:ind w:right="-6"/>
        <w:jc w:val="center"/>
        <w:rPr>
          <w:rFonts w:ascii="Times New Roman" w:hAnsi="Times New Roman" w:eastAsia="Times New Roman"/>
        </w:rPr>
      </w:pPr>
      <w:r>
        <w:rPr>
          <w:rFonts w:ascii="Times New Roman" w:hAnsi="Times New Roman" w:eastAsia="Times New Roman"/>
        </w:rPr>
        <w:t>І БІОЛОГІЧНИХ СИСТЕМАХ ТА ОБ’ЄКТАХ</w:t>
      </w:r>
    </w:p>
    <w:p>
      <w:pPr>
        <w:spacing w:line="20" w:lineRule="exact"/>
        <w:rPr>
          <w:rFonts w:ascii="Times New Roman" w:hAnsi="Times New Roman" w:eastAsia="Times New Roman"/>
        </w:rPr>
      </w:pPr>
      <w:r>
        <w:rPr>
          <w:rFonts w:ascii="Times New Roman" w:hAnsi="Times New Roman" w:eastAsia="Times New Roman"/>
        </w:rPr>
        <w:drawing>
          <wp:anchor distT="0" distB="0" distL="114300" distR="114300" simplePos="0" relativeHeight="252388352" behindDoc="1" locked="0" layoutInCell="1" allowOverlap="1">
            <wp:simplePos x="0" y="0"/>
            <wp:positionH relativeFrom="column">
              <wp:posOffset>-17780</wp:posOffset>
            </wp:positionH>
            <wp:positionV relativeFrom="paragraph">
              <wp:posOffset>24130</wp:posOffset>
            </wp:positionV>
            <wp:extent cx="6158230" cy="8890"/>
            <wp:effectExtent l="0" t="0" r="0" b="0"/>
            <wp:wrapNone/>
            <wp:docPr id="12" name="Изображение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Изображение 4"/>
                    <pic:cNvPicPr>
                      <a:picLocks noChangeAspect="1"/>
                    </pic:cNvPicPr>
                  </pic:nvPicPr>
                  <pic:blipFill>
                    <a:blip r:embed="rId4"/>
                    <a:stretch>
                      <a:fillRect/>
                    </a:stretch>
                  </pic:blipFill>
                  <pic:spPr>
                    <a:xfrm>
                      <a:off x="0" y="0"/>
                      <a:ext cx="6158230" cy="8890"/>
                    </a:xfrm>
                    <a:prstGeom prst="rect">
                      <a:avLst/>
                    </a:prstGeom>
                    <a:noFill/>
                    <a:ln w="9525">
                      <a:noFill/>
                    </a:ln>
                  </pic:spPr>
                </pic:pic>
              </a:graphicData>
            </a:graphic>
          </wp:anchor>
        </w:drawing>
      </w:r>
    </w:p>
    <w:p>
      <w:pPr>
        <w:spacing w:line="86" w:lineRule="exact"/>
        <w:rPr>
          <w:rFonts w:ascii="Times New Roman" w:hAnsi="Times New Roman" w:eastAsia="Times New Roman"/>
        </w:rPr>
      </w:pPr>
    </w:p>
    <w:p>
      <w:pPr>
        <w:spacing w:line="0" w:lineRule="atLeast"/>
        <w:ind w:left="7"/>
        <w:rPr>
          <w:rFonts w:ascii="Times New Roman" w:hAnsi="Times New Roman" w:eastAsia="Times New Roman"/>
        </w:rPr>
      </w:pPr>
      <w:r>
        <w:rPr>
          <w:rFonts w:ascii="Times New Roman" w:hAnsi="Times New Roman" w:eastAsia="Times New Roman"/>
        </w:rPr>
        <w:t>скопічному рівні підтверджена принципова відмінність механізмів інгібуваня гідроксил -радикалів та суперок-сид-аніон-радикалів, молекулами антиоксидантів на фоні превалюючої антирадикальної активності глутатіону</w:t>
      </w:r>
      <w:r>
        <w:rPr>
          <w:rFonts w:ascii="Times New Roman" w:hAnsi="Times New Roman" w:eastAsia="Times New Roman"/>
          <w:lang w:val="uk-UA"/>
        </w:rPr>
        <w:t xml:space="preserve"> в </w:t>
      </w:r>
      <w:r>
        <w:rPr>
          <w:rFonts w:ascii="Times New Roman" w:hAnsi="Times New Roman" w:eastAsia="Times New Roman"/>
        </w:rPr>
        <w:t>порівнянні з мелатоніном. Встановлена кореляція зміни макроскопічних параметрів процесу електровіднов-лення вільних радикалів кисню в присутності антиоксидантів з отриманими на нанорівні результатами кванто-вохімічних досліджень при взаємодії молекули мелатоніну та глутатіону із вільним радикалами кисню</w:t>
      </w:r>
    </w:p>
    <w:p>
      <w:pPr>
        <w:spacing w:line="187" w:lineRule="exact"/>
        <w:rPr>
          <w:rFonts w:ascii="Times New Roman" w:hAnsi="Times New Roman" w:eastAsia="Times New Roman"/>
        </w:rPr>
      </w:pPr>
    </w:p>
    <w:p>
      <w:pPr>
        <w:spacing w:line="0" w:lineRule="atLeast"/>
        <w:ind w:right="13"/>
        <w:jc w:val="center"/>
        <w:rPr>
          <w:rFonts w:ascii="Times New Roman" w:hAnsi="Times New Roman" w:eastAsia="Times New Roman"/>
          <w:b/>
        </w:rPr>
      </w:pPr>
      <w:r>
        <w:rPr>
          <w:rFonts w:ascii="Times New Roman" w:hAnsi="Times New Roman" w:eastAsia="Times New Roman"/>
          <w:b/>
        </w:rPr>
        <w:t>VOLTAMPEROMETRIC INVESTIGATION OF CATALYTIC REDOX-PROCESSES INVOLVING MELATONIN AND GLUTATHIONE</w:t>
      </w:r>
    </w:p>
    <w:p>
      <w:pPr>
        <w:spacing w:line="237" w:lineRule="auto"/>
        <w:ind w:left="7"/>
        <w:rPr>
          <w:rFonts w:ascii="Times New Roman" w:hAnsi="Times New Roman" w:eastAsia="Times New Roman"/>
          <w:b/>
        </w:rPr>
      </w:pPr>
      <w:r>
        <w:rPr>
          <w:rFonts w:ascii="Times New Roman" w:hAnsi="Times New Roman" w:eastAsia="Times New Roman"/>
          <w:b/>
        </w:rPr>
        <w:t>Soloviev V., Kuznetsova T.</w:t>
      </w:r>
    </w:p>
    <w:p>
      <w:pPr>
        <w:spacing w:line="1" w:lineRule="exact"/>
        <w:rPr>
          <w:rFonts w:ascii="Times New Roman" w:hAnsi="Times New Roman" w:eastAsia="Times New Roman"/>
        </w:rPr>
      </w:pPr>
    </w:p>
    <w:p>
      <w:pPr>
        <w:spacing w:line="0" w:lineRule="atLeast"/>
        <w:ind w:left="7"/>
        <w:rPr>
          <w:rFonts w:ascii="Times New Roman" w:hAnsi="Times New Roman" w:eastAsia="Times New Roman"/>
        </w:rPr>
      </w:pPr>
      <w:r>
        <w:rPr>
          <w:rFonts w:ascii="Times New Roman" w:hAnsi="Times New Roman" w:eastAsia="Times New Roman"/>
        </w:rPr>
        <w:t>Poltava National Technical Yuriy Kondratyuka University</w:t>
      </w:r>
    </w:p>
    <w:p>
      <w:pPr>
        <w:spacing w:line="0" w:lineRule="atLeast"/>
        <w:ind w:left="7"/>
        <w:rPr>
          <w:rFonts w:ascii="Times New Roman" w:hAnsi="Times New Roman" w:eastAsia="Times New Roman"/>
        </w:rPr>
      </w:pPr>
      <w:r>
        <w:rPr>
          <w:rFonts w:ascii="Times New Roman" w:hAnsi="Times New Roman" w:eastAsia="Times New Roman"/>
        </w:rPr>
        <w:t>prosp. Pershotravnevyi , 24, Poltava, 36011, Ukraine. Е-mail: KZT7@yandex.ru</w:t>
      </w:r>
    </w:p>
    <w:p>
      <w:pPr>
        <w:spacing w:line="1" w:lineRule="exact"/>
        <w:rPr>
          <w:rFonts w:ascii="Times New Roman" w:hAnsi="Times New Roman" w:eastAsia="Times New Roman"/>
        </w:rPr>
      </w:pPr>
    </w:p>
    <w:p>
      <w:pPr>
        <w:spacing w:line="0" w:lineRule="atLeast"/>
        <w:ind w:left="7"/>
        <w:rPr>
          <w:rFonts w:ascii="Times New Roman" w:hAnsi="Times New Roman" w:eastAsia="Times New Roman"/>
          <w:b/>
        </w:rPr>
      </w:pPr>
      <w:r>
        <w:rPr>
          <w:rFonts w:ascii="Times New Roman" w:hAnsi="Times New Roman" w:eastAsia="Times New Roman"/>
          <w:b/>
        </w:rPr>
        <w:t>Оmel’chuk А.</w:t>
      </w:r>
    </w:p>
    <w:p>
      <w:pPr>
        <w:spacing w:line="239" w:lineRule="auto"/>
        <w:ind w:left="7" w:right="920"/>
        <w:rPr>
          <w:rFonts w:ascii="Times New Roman" w:hAnsi="Times New Roman" w:eastAsia="Times New Roman"/>
        </w:rPr>
      </w:pPr>
      <w:r>
        <w:rPr>
          <w:rFonts w:ascii="Times New Roman" w:hAnsi="Times New Roman" w:eastAsia="Times New Roman"/>
        </w:rPr>
        <w:t>V.I. Vernadskii Institute of General &amp; Inorganic Chemistry of the Ukrainian National Academy of Sciences, prosp. Akademika Palladina, 32/34, Kiev, 03142, Ukraine.</w:t>
      </w:r>
    </w:p>
    <w:p>
      <w:pPr>
        <w:spacing w:line="239" w:lineRule="auto"/>
        <w:ind w:left="7"/>
        <w:jc w:val="both"/>
        <w:rPr>
          <w:rFonts w:ascii="Times New Roman" w:hAnsi="Times New Roman" w:eastAsia="Times New Roman"/>
        </w:rPr>
      </w:pPr>
      <w:r>
        <w:rPr>
          <w:rFonts w:ascii="Times New Roman" w:hAnsi="Times New Roman" w:eastAsia="Times New Roman"/>
        </w:rPr>
        <w:t>Conducted electrochemical studies confirmed the antiradical properties of andioxidants. At the macroscopic level con-firmed the fundamental difference between the mechanisms inhibition hydroxyl-radicals and superoxide-anion-radicals, of molecules antioxidant against the background of prevailing antiradical activity of glutathione compared with melato-nin.The installed correlation of changes in the macroscopic parameters of the process of electroreduction of oxygen free radicals in the presence of antioxidants obtained at the nanoscale results quantum chemical studies in the interac-tion of molecules of melatonin and glutathione against free radicals of oxygen</w:t>
      </w:r>
    </w:p>
    <w:p>
      <w:pPr>
        <w:spacing w:line="3" w:lineRule="exact"/>
        <w:rPr>
          <w:rFonts w:ascii="Times New Roman" w:hAnsi="Times New Roman" w:eastAsia="Times New Roman"/>
        </w:rPr>
      </w:pPr>
    </w:p>
    <w:p>
      <w:pPr>
        <w:spacing w:line="0" w:lineRule="atLeast"/>
        <w:ind w:left="7"/>
        <w:rPr>
          <w:rFonts w:ascii="Times New Roman" w:hAnsi="Times New Roman" w:eastAsia="Times New Roman"/>
          <w:i/>
        </w:rPr>
      </w:pPr>
      <w:r>
        <w:rPr>
          <w:rFonts w:ascii="Times New Roman" w:hAnsi="Times New Roman" w:eastAsia="Times New Roman"/>
          <w:b/>
        </w:rPr>
        <w:t xml:space="preserve">Key words: </w:t>
      </w:r>
      <w:r>
        <w:rPr>
          <w:rFonts w:ascii="Times New Roman" w:hAnsi="Times New Roman" w:eastAsia="Times New Roman"/>
        </w:rPr>
        <w:t>antioxidants, melatonin, hydroxyl radical, superoxide-anion-radical, glutathione</w:t>
      </w:r>
      <w:r>
        <w:rPr>
          <w:rFonts w:ascii="Times New Roman" w:hAnsi="Times New Roman" w:eastAsia="Times New Roman"/>
          <w:i/>
        </w:rPr>
        <w:t>.</w:t>
      </w:r>
    </w:p>
    <w:p>
      <w:pPr>
        <w:spacing w:line="235" w:lineRule="exact"/>
        <w:rPr>
          <w:rFonts w:ascii="Times New Roman" w:hAnsi="Times New Roman" w:eastAsia="Times New Roman"/>
        </w:rPr>
      </w:pPr>
    </w:p>
    <w:p>
      <w:pPr>
        <w:spacing w:line="239" w:lineRule="auto"/>
        <w:ind w:left="7" w:firstLine="284"/>
        <w:jc w:val="both"/>
        <w:rPr>
          <w:rFonts w:ascii="Times New Roman" w:hAnsi="Times New Roman" w:eastAsia="Times New Roman"/>
        </w:rPr>
      </w:pPr>
      <w:r>
        <w:rPr>
          <w:rFonts w:ascii="Times New Roman" w:hAnsi="Times New Roman" w:eastAsia="Times New Roman"/>
        </w:rPr>
        <w:t>АКТУАЛЬНІСТЬ РОБОТИ. Для зменшення негативного впливу вільних радикалів на біологічні об’єкти жи-вого організму останнім часом у практичній медицині широко застосовуються ендогенні антиоксиданти у зв’язку з їх участю в системі захисту організму людини від агресивної дії вільних радикалів. Відсутність сис-тематичних досліджень, особливо на молекулярному рівні, антирадикальної активності різних антиоксидантів при їх взаємодії з вільними радикалами в біологічних системах зумовлює не тільки наявність суперечливих оцінок в інтерпретації експериментально одержаних закономірностей, але й створює труднощі у розвитку зага-льних уявлень відносно механізму взаємодії антиоксидантів із вільними радикалами та цілеспрямованого під-ходу до керування цими процесами, які мають практичне застосування у медицині. Це актуалізує вивчення антирадикальної активності різних антиоксидантів.</w:t>
      </w:r>
    </w:p>
    <w:p>
      <w:pPr>
        <w:spacing w:line="8" w:lineRule="exact"/>
        <w:rPr>
          <w:rFonts w:ascii="Times New Roman" w:hAnsi="Times New Roman" w:eastAsia="Times New Roman"/>
        </w:rPr>
      </w:pPr>
    </w:p>
    <w:p>
      <w:pPr>
        <w:spacing w:line="0" w:lineRule="atLeast"/>
        <w:ind w:left="7" w:firstLine="284"/>
        <w:jc w:val="both"/>
        <w:rPr>
          <w:rFonts w:ascii="Times New Roman" w:hAnsi="Times New Roman" w:eastAsia="Times New Roman"/>
        </w:rPr>
      </w:pPr>
      <w:r>
        <w:rPr>
          <w:rFonts w:ascii="Times New Roman" w:hAnsi="Times New Roman" w:eastAsia="Times New Roman"/>
        </w:rPr>
        <w:t>Взаємодія антиоксидантів із вільними радикалами обумовлена впливом великої кількості різноманітних вза-ємопов'язаних процесів, стабілізація яких навіть в умовах експерименту є досить проблематичною. Разом з тим на сьогодні широко почало застосовуватися моделювання різних фізико-хімічних процесів на молекулярному рівні методами квантової хімії з подальшим аналізом результатів виконаних розрахунків. Тому представляється актуальним вивчення ефективності дії ендогенних антиоксидантів мелатоніну і глутатіону шляхом моделюван-ня механізму їх взаємодії із вільними радикалами (гідроксил-радикалом (•ОН) і супероксид-аніон-радикалом (•ООˉ) електрохімічними методами, що, дає можливість не тільки отримати обґрунтування позитивного ефекту використання антиоксидантів, але й встановити потенційну значущість цих речовин як лікарських засобів.</w:t>
      </w:r>
    </w:p>
    <w:p>
      <w:pPr>
        <w:spacing w:line="1" w:lineRule="exact"/>
        <w:rPr>
          <w:rFonts w:ascii="Times New Roman" w:hAnsi="Times New Roman" w:eastAsia="Times New Roman"/>
        </w:rPr>
      </w:pPr>
    </w:p>
    <w:p>
      <w:pPr>
        <w:spacing w:line="0" w:lineRule="atLeast"/>
        <w:ind w:left="7" w:firstLine="284"/>
        <w:jc w:val="both"/>
        <w:rPr>
          <w:rFonts w:ascii="Times New Roman" w:hAnsi="Times New Roman" w:eastAsia="Times New Roman"/>
        </w:rPr>
      </w:pPr>
      <w:r>
        <w:rPr>
          <w:rFonts w:ascii="Times New Roman" w:hAnsi="Times New Roman" w:eastAsia="Times New Roman"/>
        </w:rPr>
        <w:t xml:space="preserve">МАТЕРІАЛИ І РЕЗУЛЬТАТИ ДОСЛІДЖЕНЬ. Електрохімічні дослідження моделювання взаємодії антиок-сидантів із вільними радикалами кисню проводили в </w:t>
      </w:r>
      <w:r>
        <w:fldChar w:fldCharType="begin"/>
      </w:r>
      <w:r>
        <w:instrText xml:space="preserve"> HYPERLINK "http://www.nbuv.gov.ua/institutions/bpci/index.html" </w:instrText>
      </w:r>
      <w:r>
        <w:fldChar w:fldCharType="separate"/>
      </w:r>
      <w:r>
        <w:rPr>
          <w:rFonts w:ascii="Times New Roman" w:hAnsi="Times New Roman" w:eastAsia="Times New Roman"/>
        </w:rPr>
        <w:t xml:space="preserve">Інституті біоорганічної хімії та нафтохімії </w:t>
      </w:r>
      <w:r>
        <w:fldChar w:fldCharType="end"/>
      </w:r>
      <w:r>
        <w:rPr>
          <w:rFonts w:ascii="Times New Roman" w:hAnsi="Times New Roman" w:eastAsia="Times New Roman"/>
        </w:rPr>
        <w:t>НАН України з використанням диференційної iмпульсної вольтамперометрiї за методикою запропонованою д.х.н., проф., Г.С. Шаповал; для дослідів використовували L-глутатіон фірми SERVA та мелатонін фірми Merck. Сполуки викори-стовувавли без додаткового очищення. Розчини глутатіону та мелатоніну готували безпосередньо перед вимі-рами.</w:t>
      </w:r>
    </w:p>
    <w:p>
      <w:pPr>
        <w:spacing w:line="1" w:lineRule="exact"/>
        <w:rPr>
          <w:rFonts w:ascii="Times New Roman" w:hAnsi="Times New Roman" w:eastAsia="Times New Roman"/>
        </w:rPr>
      </w:pPr>
    </w:p>
    <w:p>
      <w:pPr>
        <w:spacing w:line="239" w:lineRule="auto"/>
        <w:ind w:left="7" w:firstLine="284"/>
        <w:jc w:val="both"/>
        <w:rPr>
          <w:rFonts w:ascii="Times New Roman" w:hAnsi="Times New Roman" w:eastAsia="Times New Roman"/>
        </w:rPr>
      </w:pPr>
      <w:r>
        <w:rPr>
          <w:rFonts w:ascii="Times New Roman" w:hAnsi="Times New Roman" w:eastAsia="Times New Roman"/>
        </w:rPr>
        <w:t>Раніше нами на основі моделювання взаємодії молекули мелатоніну (МLТ ) та глутатіону (GSH) з вільними радикалами •ОН та •ООˉ за результатами неемпіричних квантово-хімічних розрахунків була запропонована схема перерозподілу електронної густини в молекулах антиоксидантів під впливом вільних радикалів кисню, яка дозволила обґрунтовувати мікроскопічний механізм антирадикальної активності молекули мелатоніну [1,2].</w:t>
      </w:r>
    </w:p>
    <w:p>
      <w:pPr>
        <w:spacing w:line="3" w:lineRule="exact"/>
        <w:rPr>
          <w:rFonts w:ascii="Times New Roman" w:hAnsi="Times New Roman" w:eastAsia="Times New Roman"/>
        </w:rPr>
      </w:pPr>
    </w:p>
    <w:p>
      <w:pPr>
        <w:spacing w:line="0" w:lineRule="atLeast"/>
        <w:ind w:left="7" w:firstLine="284"/>
        <w:jc w:val="both"/>
        <w:rPr>
          <w:rFonts w:ascii="Times New Roman" w:hAnsi="Times New Roman" w:eastAsia="Times New Roman"/>
        </w:rPr>
      </w:pPr>
      <w:r>
        <w:rPr>
          <w:rFonts w:ascii="Times New Roman" w:hAnsi="Times New Roman" w:eastAsia="Times New Roman"/>
        </w:rPr>
        <w:t>Для підтвердження отриманих на нанорівні квантовохімічних результатів були проведені електрохімічні до-слідження взаємодії антиоксидантів з вільними радикалами кисню у водному фізіологічному розчині шляхом електрохімічного генерування вільних радикалів кисню в присутності антиоксиданту [3].</w:t>
      </w:r>
    </w:p>
    <w:p>
      <w:pPr>
        <w:spacing w:line="1" w:lineRule="exact"/>
        <w:rPr>
          <w:rFonts w:ascii="Times New Roman" w:hAnsi="Times New Roman" w:eastAsia="Times New Roman"/>
        </w:rPr>
      </w:pPr>
    </w:p>
    <w:p>
      <w:pPr>
        <w:spacing w:line="272" w:lineRule="auto"/>
        <w:ind w:left="7" w:right="20" w:firstLine="284"/>
        <w:jc w:val="both"/>
        <w:rPr>
          <w:rFonts w:ascii="Times New Roman" w:hAnsi="Times New Roman" w:eastAsia="Times New Roman"/>
        </w:rPr>
      </w:pPr>
      <w:r>
        <w:rPr>
          <w:rFonts w:ascii="Times New Roman" w:hAnsi="Times New Roman" w:eastAsia="Times New Roman"/>
        </w:rPr>
        <w:t>Диференціальні вольтамперні криві відновлення вільних радикалів кисню, які характеризують реакції (1-3), аналогічні тим, що протікають в біосистемах в процесі дихання, обміну речовин, кисневого стресу:</w:t>
      </w:r>
    </w:p>
    <w:p>
      <w:pPr>
        <w:spacing w:line="20" w:lineRule="exact"/>
        <w:rPr>
          <w:rFonts w:ascii="Times New Roman" w:hAnsi="Times New Roman" w:eastAsia="Times New Roman"/>
        </w:rPr>
      </w:pPr>
      <w:r>
        <w:rPr>
          <w:rFonts w:ascii="Times New Roman" w:hAnsi="Times New Roman" w:eastAsia="Times New Roman"/>
        </w:rPr>
        <w:drawing>
          <wp:anchor distT="0" distB="0" distL="114300" distR="114300" simplePos="0" relativeHeight="252389376" behindDoc="1" locked="0" layoutInCell="1" allowOverlap="1">
            <wp:simplePos x="0" y="0"/>
            <wp:positionH relativeFrom="column">
              <wp:posOffset>3841115</wp:posOffset>
            </wp:positionH>
            <wp:positionV relativeFrom="paragraph">
              <wp:posOffset>45720</wp:posOffset>
            </wp:positionV>
            <wp:extent cx="257175" cy="123825"/>
            <wp:effectExtent l="0" t="0" r="9525" b="9525"/>
            <wp:wrapNone/>
            <wp:docPr id="2" name="Изображение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5"/>
                    <pic:cNvPicPr>
                      <a:picLocks noChangeAspect="1"/>
                    </pic:cNvPicPr>
                  </pic:nvPicPr>
                  <pic:blipFill>
                    <a:blip r:embed="rId5"/>
                    <a:stretch>
                      <a:fillRect/>
                    </a:stretch>
                  </pic:blipFill>
                  <pic:spPr>
                    <a:xfrm>
                      <a:off x="0" y="0"/>
                      <a:ext cx="257175" cy="123825"/>
                    </a:xfrm>
                    <a:prstGeom prst="rect">
                      <a:avLst/>
                    </a:prstGeom>
                    <a:noFill/>
                    <a:ln w="9525">
                      <a:noFill/>
                    </a:ln>
                  </pic:spPr>
                </pic:pic>
              </a:graphicData>
            </a:graphic>
          </wp:anchor>
        </w:drawing>
      </w:r>
    </w:p>
    <w:p>
      <w:pPr>
        <w:spacing w:line="53" w:lineRule="exact"/>
        <w:rPr>
          <w:rFonts w:ascii="Times New Roman" w:hAnsi="Times New Roman" w:eastAsia="Times New Roman"/>
        </w:rPr>
      </w:pPr>
    </w:p>
    <w:tbl>
      <w:tblPr>
        <w:tblStyle w:val="3"/>
        <w:tblW w:w="6300" w:type="dxa"/>
        <w:tblInd w:w="334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880"/>
        <w:gridCol w:w="1080"/>
        <w:gridCol w:w="2120"/>
        <w:gridCol w:w="12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7" w:hRule="atLeast"/>
        </w:trPr>
        <w:tc>
          <w:tcPr>
            <w:tcW w:w="1880" w:type="dxa"/>
            <w:shd w:val="clear" w:color="auto" w:fill="auto"/>
            <w:vAlign w:val="bottom"/>
          </w:tcPr>
          <w:p>
            <w:pPr>
              <w:spacing w:line="0" w:lineRule="atLeast"/>
              <w:ind w:left="40"/>
              <w:rPr>
                <w:rFonts w:ascii="Times New Roman" w:hAnsi="Times New Roman" w:eastAsia="Times New Roman"/>
              </w:rPr>
            </w:pPr>
            <w:r>
              <w:rPr>
                <w:rFonts w:ascii="Times New Roman" w:hAnsi="Times New Roman" w:eastAsia="Times New Roman"/>
              </w:rPr>
              <w:t>I хвиля (Е = - 0,2 В)</w:t>
            </w:r>
          </w:p>
        </w:tc>
        <w:tc>
          <w:tcPr>
            <w:tcW w:w="1080" w:type="dxa"/>
            <w:shd w:val="clear" w:color="auto" w:fill="auto"/>
            <w:vAlign w:val="bottom"/>
          </w:tcPr>
          <w:p>
            <w:pPr>
              <w:spacing w:line="0" w:lineRule="atLeast"/>
              <w:rPr>
                <w:rFonts w:ascii="Times New Roman" w:hAnsi="Times New Roman" w:eastAsia="Times New Roman"/>
              </w:rPr>
            </w:pPr>
            <w:r>
              <w:rPr>
                <w:rFonts w:ascii="Times New Roman" w:hAnsi="Times New Roman" w:eastAsia="Times New Roman"/>
                <w:b/>
              </w:rPr>
              <w:t>•</w:t>
            </w:r>
            <w:r>
              <w:rPr>
                <w:rFonts w:ascii="Times New Roman" w:hAnsi="Times New Roman" w:eastAsia="Times New Roman"/>
              </w:rPr>
              <w:t>OH +</w:t>
            </w:r>
            <w:r>
              <w:rPr>
                <w:rFonts w:ascii="Times New Roman" w:hAnsi="Times New Roman" w:eastAsia="Times New Roman"/>
                <w:b/>
              </w:rPr>
              <w:t xml:space="preserve"> </w:t>
            </w:r>
            <w:r>
              <w:rPr>
                <w:rFonts w:ascii="Times New Roman" w:hAnsi="Times New Roman" w:eastAsia="Times New Roman"/>
              </w:rPr>
              <w:t>е‾</w:t>
            </w:r>
          </w:p>
        </w:tc>
        <w:tc>
          <w:tcPr>
            <w:tcW w:w="2120" w:type="dxa"/>
            <w:shd w:val="clear" w:color="auto" w:fill="auto"/>
            <w:vAlign w:val="bottom"/>
          </w:tcPr>
          <w:p>
            <w:pPr>
              <w:spacing w:line="0" w:lineRule="atLeast"/>
              <w:ind w:left="220"/>
              <w:rPr>
                <w:rFonts w:ascii="Times New Roman" w:hAnsi="Times New Roman" w:eastAsia="Times New Roman"/>
              </w:rPr>
            </w:pPr>
            <w:r>
              <w:rPr>
                <w:rFonts w:ascii="Times New Roman" w:hAnsi="Times New Roman" w:eastAsia="Times New Roman"/>
              </w:rPr>
              <w:t>ОН‾,</w:t>
            </w:r>
          </w:p>
        </w:tc>
        <w:tc>
          <w:tcPr>
            <w:tcW w:w="1220" w:type="dxa"/>
            <w:shd w:val="clear" w:color="auto" w:fill="auto"/>
            <w:vAlign w:val="bottom"/>
          </w:tcPr>
          <w:p>
            <w:pPr>
              <w:spacing w:line="0" w:lineRule="atLeast"/>
              <w:jc w:val="right"/>
              <w:rPr>
                <w:rFonts w:ascii="Times New Roman" w:hAnsi="Times New Roman" w:eastAsia="Times New Roman"/>
              </w:rPr>
            </w:pPr>
            <w:r>
              <w:rPr>
                <w:rFonts w:ascii="Times New Roman" w:hAnsi="Times New Roman" w:eastAsia="Times New Roma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3" w:hRule="atLeast"/>
        </w:trPr>
        <w:tc>
          <w:tcPr>
            <w:tcW w:w="1880" w:type="dxa"/>
            <w:shd w:val="clear" w:color="auto" w:fill="auto"/>
            <w:vAlign w:val="bottom"/>
          </w:tcPr>
          <w:p>
            <w:pPr>
              <w:spacing w:line="0" w:lineRule="atLeast"/>
              <w:rPr>
                <w:rFonts w:ascii="Times New Roman" w:hAnsi="Times New Roman" w:eastAsia="Times New Roman"/>
              </w:rPr>
            </w:pPr>
            <w:r>
              <w:rPr>
                <w:rFonts w:ascii="Times New Roman" w:hAnsi="Times New Roman" w:eastAsia="Times New Roman"/>
              </w:rPr>
              <w:t>II хвиля  (Е = - 0,7В)</w:t>
            </w:r>
          </w:p>
        </w:tc>
        <w:tc>
          <w:tcPr>
            <w:tcW w:w="1080" w:type="dxa"/>
            <w:shd w:val="clear" w:color="auto" w:fill="auto"/>
            <w:vAlign w:val="bottom"/>
          </w:tcPr>
          <w:p>
            <w:pPr>
              <w:spacing w:line="253" w:lineRule="exact"/>
              <w:ind w:left="180"/>
              <w:rPr>
                <w:rFonts w:ascii="Times New Roman" w:hAnsi="Times New Roman" w:eastAsia="Times New Roman"/>
              </w:rPr>
            </w:pPr>
            <w:r>
              <w:rPr>
                <w:rFonts w:ascii="Times New Roman" w:hAnsi="Times New Roman" w:eastAsia="Times New Roman"/>
              </w:rPr>
              <w:t>О</w:t>
            </w:r>
            <w:r>
              <w:rPr>
                <w:rFonts w:ascii="Times New Roman" w:hAnsi="Times New Roman" w:eastAsia="Times New Roman"/>
                <w:sz w:val="25"/>
                <w:vertAlign w:val="subscript"/>
              </w:rPr>
              <w:t>2</w:t>
            </w:r>
            <w:r>
              <w:rPr>
                <w:rFonts w:ascii="Times New Roman" w:hAnsi="Times New Roman" w:eastAsia="Times New Roman"/>
              </w:rPr>
              <w:t xml:space="preserve"> + 1е‾</w:t>
            </w:r>
          </w:p>
        </w:tc>
        <w:tc>
          <w:tcPr>
            <w:tcW w:w="2120" w:type="dxa"/>
            <w:shd w:val="clear" w:color="auto" w:fill="auto"/>
            <w:vAlign w:val="bottom"/>
          </w:tcPr>
          <w:p>
            <w:pPr>
              <w:spacing w:line="253" w:lineRule="exact"/>
              <w:ind w:left="320"/>
              <w:rPr>
                <w:rFonts w:ascii="Times New Roman" w:hAnsi="Times New Roman" w:eastAsia="Times New Roman"/>
              </w:rPr>
            </w:pPr>
            <w:r>
              <w:rPr>
                <w:rFonts w:ascii="Times New Roman" w:hAnsi="Times New Roman" w:eastAsia="Times New Roman"/>
                <w:b/>
              </w:rPr>
              <w:t>•</w:t>
            </w:r>
            <w:r>
              <w:rPr>
                <w:rFonts w:ascii="Times New Roman" w:hAnsi="Times New Roman" w:eastAsia="Times New Roman"/>
              </w:rPr>
              <w:t>ОО</w:t>
            </w:r>
            <w:r>
              <w:rPr>
                <w:rFonts w:ascii="Times New Roman" w:hAnsi="Times New Roman" w:eastAsia="Times New Roman"/>
                <w:sz w:val="25"/>
                <w:vertAlign w:val="superscript"/>
              </w:rPr>
              <w:t>–</w:t>
            </w:r>
            <w:r>
              <w:rPr>
                <w:rFonts w:ascii="Times New Roman" w:hAnsi="Times New Roman" w:eastAsia="Times New Roman"/>
                <w:b/>
              </w:rPr>
              <w:t xml:space="preserve"> </w:t>
            </w:r>
            <w:r>
              <w:rPr>
                <w:rFonts w:ascii="Times New Roman" w:hAnsi="Times New Roman" w:eastAsia="Times New Roman"/>
              </w:rPr>
              <w:t>,</w:t>
            </w:r>
          </w:p>
        </w:tc>
        <w:tc>
          <w:tcPr>
            <w:tcW w:w="1220" w:type="dxa"/>
            <w:shd w:val="clear" w:color="auto" w:fill="auto"/>
            <w:vAlign w:val="bottom"/>
          </w:tcPr>
          <w:p>
            <w:pPr>
              <w:spacing w:line="0" w:lineRule="atLeast"/>
              <w:jc w:val="right"/>
              <w:rPr>
                <w:rFonts w:ascii="Times New Roman" w:hAnsi="Times New Roman" w:eastAsia="Times New Roman"/>
              </w:rPr>
            </w:pPr>
            <w:r>
              <w:rPr>
                <w:rFonts w:ascii="Times New Roman" w:hAnsi="Times New Roman" w:eastAsia="Times New Roma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rPr>
        <w:tc>
          <w:tcPr>
            <w:tcW w:w="2960" w:type="dxa"/>
            <w:gridSpan w:val="2"/>
            <w:shd w:val="clear" w:color="auto" w:fill="auto"/>
            <w:vAlign w:val="bottom"/>
          </w:tcPr>
          <w:p>
            <w:pPr>
              <w:spacing w:line="271" w:lineRule="exact"/>
              <w:ind w:left="1380"/>
              <w:rPr>
                <w:rFonts w:ascii="Times New Roman" w:hAnsi="Times New Roman" w:eastAsia="Times New Roman"/>
                <w:sz w:val="25"/>
                <w:vertAlign w:val="superscript"/>
              </w:rPr>
            </w:pPr>
            <w:r>
              <w:rPr>
                <w:rFonts w:ascii="Times New Roman" w:hAnsi="Times New Roman" w:eastAsia="Times New Roman"/>
                <w:b/>
              </w:rPr>
              <w:t>•</w:t>
            </w:r>
            <w:r>
              <w:rPr>
                <w:rFonts w:ascii="Times New Roman" w:hAnsi="Times New Roman" w:eastAsia="Times New Roman"/>
              </w:rPr>
              <w:t>ОО</w:t>
            </w:r>
            <w:r>
              <w:rPr>
                <w:rFonts w:ascii="Times New Roman" w:hAnsi="Times New Roman" w:eastAsia="Times New Roman"/>
                <w:sz w:val="25"/>
                <w:vertAlign w:val="superscript"/>
              </w:rPr>
              <w:t>–</w:t>
            </w:r>
            <w:r>
              <w:rPr>
                <w:rFonts w:ascii="Times New Roman" w:hAnsi="Times New Roman" w:eastAsia="Times New Roman"/>
                <w:b/>
              </w:rPr>
              <w:t xml:space="preserve"> </w:t>
            </w:r>
            <w:r>
              <w:rPr>
                <w:rFonts w:ascii="Times New Roman" w:hAnsi="Times New Roman" w:eastAsia="Times New Roman"/>
              </w:rPr>
              <w:t>+1е‾ + 2Н</w:t>
            </w:r>
            <w:r>
              <w:rPr>
                <w:rFonts w:ascii="Times New Roman" w:hAnsi="Times New Roman" w:eastAsia="Times New Roman"/>
                <w:sz w:val="25"/>
                <w:vertAlign w:val="superscript"/>
              </w:rPr>
              <w:t>+</w:t>
            </w:r>
          </w:p>
        </w:tc>
        <w:tc>
          <w:tcPr>
            <w:tcW w:w="2120" w:type="dxa"/>
            <w:shd w:val="clear" w:color="auto" w:fill="auto"/>
            <w:vAlign w:val="bottom"/>
          </w:tcPr>
          <w:p>
            <w:pPr>
              <w:spacing w:line="271" w:lineRule="exact"/>
              <w:ind w:left="300"/>
              <w:rPr>
                <w:rFonts w:ascii="Times New Roman" w:hAnsi="Times New Roman" w:eastAsia="Times New Roman"/>
              </w:rPr>
            </w:pPr>
            <w:r>
              <w:rPr>
                <w:rFonts w:ascii="Times New Roman" w:hAnsi="Times New Roman" w:eastAsia="Times New Roman"/>
              </w:rPr>
              <w:t>Н</w:t>
            </w:r>
            <w:r>
              <w:rPr>
                <w:rFonts w:ascii="Times New Roman" w:hAnsi="Times New Roman" w:eastAsia="Times New Roman"/>
                <w:sz w:val="25"/>
                <w:vertAlign w:val="subscript"/>
              </w:rPr>
              <w:t>2</w:t>
            </w:r>
            <w:r>
              <w:rPr>
                <w:rFonts w:ascii="Times New Roman" w:hAnsi="Times New Roman" w:eastAsia="Times New Roman"/>
              </w:rPr>
              <w:t>О</w:t>
            </w:r>
            <w:r>
              <w:rPr>
                <w:rFonts w:ascii="Times New Roman" w:hAnsi="Times New Roman" w:eastAsia="Times New Roman"/>
                <w:sz w:val="25"/>
                <w:vertAlign w:val="subscript"/>
              </w:rPr>
              <w:t>2</w:t>
            </w:r>
            <w:r>
              <w:rPr>
                <w:rFonts w:ascii="Times New Roman" w:hAnsi="Times New Roman" w:eastAsia="Times New Roman"/>
              </w:rPr>
              <w:t xml:space="preserve"> ,</w:t>
            </w:r>
          </w:p>
        </w:tc>
        <w:tc>
          <w:tcPr>
            <w:tcW w:w="1220" w:type="dxa"/>
            <w:shd w:val="clear" w:color="auto" w:fill="auto"/>
            <w:vAlign w:val="bottom"/>
          </w:tcPr>
          <w:p>
            <w:pPr>
              <w:spacing w:line="0" w:lineRule="atLeast"/>
              <w:jc w:val="right"/>
              <w:rPr>
                <w:rFonts w:ascii="Times New Roman" w:hAnsi="Times New Roman" w:eastAsia="Times New Roman"/>
              </w:rPr>
            </w:pPr>
            <w:r>
              <w:rPr>
                <w:rFonts w:ascii="Times New Roman" w:hAnsi="Times New Roman" w:eastAsia="Times New Roman"/>
              </w:rPr>
              <w:t>(2а)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7" w:hRule="atLeast"/>
        </w:trPr>
        <w:tc>
          <w:tcPr>
            <w:tcW w:w="1880" w:type="dxa"/>
            <w:shd w:val="clear" w:color="auto" w:fill="auto"/>
            <w:vAlign w:val="bottom"/>
          </w:tcPr>
          <w:p>
            <w:pPr>
              <w:spacing w:line="0" w:lineRule="atLeast"/>
              <w:ind w:left="40"/>
              <w:rPr>
                <w:rFonts w:ascii="Times New Roman" w:hAnsi="Times New Roman" w:eastAsia="Times New Roman"/>
              </w:rPr>
            </w:pPr>
            <w:r>
              <w:rPr>
                <w:rFonts w:ascii="Times New Roman" w:hAnsi="Times New Roman" w:eastAsia="Times New Roman"/>
              </w:rPr>
              <w:t>III хвиля (Е = - 1,1 В)</w:t>
            </w:r>
          </w:p>
        </w:tc>
        <w:tc>
          <w:tcPr>
            <w:tcW w:w="3200" w:type="dxa"/>
            <w:gridSpan w:val="2"/>
            <w:shd w:val="clear" w:color="auto" w:fill="auto"/>
            <w:vAlign w:val="bottom"/>
          </w:tcPr>
          <w:p>
            <w:pPr>
              <w:spacing w:line="0" w:lineRule="atLeast"/>
              <w:ind w:left="120"/>
              <w:rPr>
                <w:rFonts w:ascii="Times New Roman" w:hAnsi="Times New Roman" w:eastAsia="Times New Roman"/>
              </w:rPr>
            </w:pPr>
            <w:r>
              <w:rPr>
                <w:rFonts w:ascii="Times New Roman" w:hAnsi="Times New Roman" w:eastAsia="Times New Roman"/>
              </w:rPr>
              <w:t>Н</w:t>
            </w:r>
            <w:r>
              <w:rPr>
                <w:rFonts w:ascii="Times New Roman" w:hAnsi="Times New Roman" w:eastAsia="Times New Roman"/>
                <w:sz w:val="25"/>
                <w:vertAlign w:val="subscript"/>
              </w:rPr>
              <w:t>2</w:t>
            </w:r>
            <w:r>
              <w:rPr>
                <w:rFonts w:ascii="Times New Roman" w:hAnsi="Times New Roman" w:eastAsia="Times New Roman"/>
              </w:rPr>
              <w:t>О</w:t>
            </w:r>
            <w:r>
              <w:rPr>
                <w:rFonts w:ascii="Times New Roman" w:hAnsi="Times New Roman" w:eastAsia="Times New Roman"/>
                <w:sz w:val="25"/>
                <w:vertAlign w:val="subscript"/>
              </w:rPr>
              <w:t>2</w:t>
            </w:r>
            <w:r>
              <w:rPr>
                <w:rFonts w:ascii="Times New Roman" w:hAnsi="Times New Roman" w:eastAsia="Times New Roman"/>
              </w:rPr>
              <w:t xml:space="preserve"> +е‾‾ОН + </w:t>
            </w:r>
            <w:r>
              <w:rPr>
                <w:rFonts w:ascii="Times New Roman" w:hAnsi="Times New Roman" w:eastAsia="Times New Roman"/>
                <w:b/>
              </w:rPr>
              <w:t>•</w:t>
            </w:r>
            <w:r>
              <w:rPr>
                <w:rFonts w:ascii="Times New Roman" w:hAnsi="Times New Roman" w:eastAsia="Times New Roman"/>
              </w:rPr>
              <w:t>ОН,</w:t>
            </w:r>
          </w:p>
        </w:tc>
        <w:tc>
          <w:tcPr>
            <w:tcW w:w="1220" w:type="dxa"/>
            <w:shd w:val="clear" w:color="auto" w:fill="auto"/>
            <w:vAlign w:val="bottom"/>
          </w:tcPr>
          <w:p>
            <w:pPr>
              <w:spacing w:line="0" w:lineRule="atLeast"/>
              <w:jc w:val="right"/>
              <w:rPr>
                <w:rFonts w:ascii="Times New Roman" w:hAnsi="Times New Roman" w:eastAsia="Times New Roman"/>
              </w:rPr>
            </w:pPr>
            <w:r>
              <w:rPr>
                <w:rFonts w:ascii="Times New Roman" w:hAnsi="Times New Roman" w:eastAsia="Times New Roman"/>
              </w:rPr>
              <w:t>(3)</w:t>
            </w:r>
          </w:p>
        </w:tc>
      </w:tr>
    </w:tbl>
    <w:p>
      <w:pPr>
        <w:spacing w:line="20" w:lineRule="exact"/>
        <w:rPr>
          <w:rFonts w:ascii="Times New Roman" w:hAnsi="Times New Roman" w:eastAsia="Times New Roman"/>
        </w:rPr>
      </w:pPr>
      <w:r>
        <w:rPr>
          <w:rFonts w:ascii="Times New Roman" w:hAnsi="Times New Roman" w:eastAsia="Times New Roman"/>
        </w:rPr>
        <w:drawing>
          <wp:anchor distT="0" distB="0" distL="114300" distR="114300" simplePos="0" relativeHeight="252390400" behindDoc="1" locked="0" layoutInCell="1" allowOverlap="1">
            <wp:simplePos x="0" y="0"/>
            <wp:positionH relativeFrom="column">
              <wp:posOffset>3910330</wp:posOffset>
            </wp:positionH>
            <wp:positionV relativeFrom="paragraph">
              <wp:posOffset>-542290</wp:posOffset>
            </wp:positionV>
            <wp:extent cx="257175" cy="123825"/>
            <wp:effectExtent l="0" t="0" r="9525" b="9525"/>
            <wp:wrapNone/>
            <wp:docPr id="3" name="Изображение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6"/>
                    <pic:cNvPicPr>
                      <a:picLocks noChangeAspect="1"/>
                    </pic:cNvPicPr>
                  </pic:nvPicPr>
                  <pic:blipFill>
                    <a:blip r:embed="rId6"/>
                    <a:stretch>
                      <a:fillRect/>
                    </a:stretch>
                  </pic:blipFill>
                  <pic:spPr>
                    <a:xfrm>
                      <a:off x="0" y="0"/>
                      <a:ext cx="257175" cy="123825"/>
                    </a:xfrm>
                    <a:prstGeom prst="rect">
                      <a:avLst/>
                    </a:prstGeom>
                    <a:noFill/>
                    <a:ln w="9525">
                      <a:noFill/>
                    </a:ln>
                  </pic:spPr>
                </pic:pic>
              </a:graphicData>
            </a:graphic>
          </wp:anchor>
        </w:drawing>
      </w:r>
      <w:r>
        <w:rPr>
          <w:rFonts w:ascii="Times New Roman" w:hAnsi="Times New Roman" w:eastAsia="Times New Roman"/>
        </w:rPr>
        <w:drawing>
          <wp:anchor distT="0" distB="0" distL="114300" distR="114300" simplePos="0" relativeHeight="252391424" behindDoc="1" locked="0" layoutInCell="1" allowOverlap="1">
            <wp:simplePos x="0" y="0"/>
            <wp:positionH relativeFrom="column">
              <wp:posOffset>3901440</wp:posOffset>
            </wp:positionH>
            <wp:positionV relativeFrom="paragraph">
              <wp:posOffset>-381635</wp:posOffset>
            </wp:positionV>
            <wp:extent cx="257175" cy="123825"/>
            <wp:effectExtent l="0" t="0" r="9525" b="9525"/>
            <wp:wrapNone/>
            <wp:docPr id="11" name="Изображение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Изображение 7"/>
                    <pic:cNvPicPr>
                      <a:picLocks noChangeAspect="1"/>
                    </pic:cNvPicPr>
                  </pic:nvPicPr>
                  <pic:blipFill>
                    <a:blip r:embed="rId7"/>
                    <a:stretch>
                      <a:fillRect/>
                    </a:stretch>
                  </pic:blipFill>
                  <pic:spPr>
                    <a:xfrm>
                      <a:off x="0" y="0"/>
                      <a:ext cx="257175" cy="123825"/>
                    </a:xfrm>
                    <a:prstGeom prst="rect">
                      <a:avLst/>
                    </a:prstGeom>
                    <a:noFill/>
                    <a:ln w="9525">
                      <a:noFill/>
                    </a:ln>
                  </pic:spPr>
                </pic:pic>
              </a:graphicData>
            </a:graphic>
          </wp:anchor>
        </w:drawing>
      </w:r>
      <w:r>
        <w:rPr>
          <w:rFonts w:ascii="Times New Roman" w:hAnsi="Times New Roman" w:eastAsia="Times New Roman"/>
        </w:rPr>
        <w:drawing>
          <wp:anchor distT="0" distB="0" distL="114300" distR="114300" simplePos="0" relativeHeight="252392448" behindDoc="1" locked="0" layoutInCell="1" allowOverlap="1">
            <wp:simplePos x="0" y="0"/>
            <wp:positionH relativeFrom="column">
              <wp:posOffset>3857625</wp:posOffset>
            </wp:positionH>
            <wp:positionV relativeFrom="paragraph">
              <wp:posOffset>-220980</wp:posOffset>
            </wp:positionV>
            <wp:extent cx="257175" cy="123825"/>
            <wp:effectExtent l="0" t="0" r="9525" b="9525"/>
            <wp:wrapNone/>
            <wp:docPr id="5" name="Изображение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 8"/>
                    <pic:cNvPicPr>
                      <a:picLocks noChangeAspect="1"/>
                    </pic:cNvPicPr>
                  </pic:nvPicPr>
                  <pic:blipFill>
                    <a:blip r:embed="rId5"/>
                    <a:stretch>
                      <a:fillRect/>
                    </a:stretch>
                  </pic:blipFill>
                  <pic:spPr>
                    <a:xfrm>
                      <a:off x="0" y="0"/>
                      <a:ext cx="257175" cy="123825"/>
                    </a:xfrm>
                    <a:prstGeom prst="rect">
                      <a:avLst/>
                    </a:prstGeom>
                    <a:noFill/>
                    <a:ln w="9525">
                      <a:noFill/>
                    </a:ln>
                  </pic:spPr>
                </pic:pic>
              </a:graphicData>
            </a:graphic>
          </wp:anchor>
        </w:drawing>
      </w:r>
    </w:p>
    <w:p>
      <w:pPr>
        <w:spacing w:line="0" w:lineRule="atLeast"/>
        <w:ind w:left="7" w:firstLine="334"/>
        <w:jc w:val="both"/>
        <w:rPr>
          <w:rFonts w:ascii="Times New Roman" w:hAnsi="Times New Roman" w:eastAsia="Times New Roman"/>
        </w:rPr>
      </w:pPr>
      <w:r>
        <w:rPr>
          <w:rFonts w:ascii="Times New Roman" w:hAnsi="Times New Roman" w:eastAsia="Times New Roman"/>
        </w:rPr>
        <w:t>знімали на фоні 0,1М розчину NaCI у воді (фізіологічний розчин) з подальшим титруванням фонового елек-троліту добавками GSH та МLТ різної концентрації (рис. 1).</w:t>
      </w:r>
    </w:p>
    <w:p>
      <w:pPr>
        <w:spacing w:line="1" w:lineRule="exact"/>
        <w:rPr>
          <w:rFonts w:ascii="Times New Roman" w:hAnsi="Times New Roman" w:eastAsia="Times New Roman"/>
        </w:rPr>
      </w:pPr>
    </w:p>
    <w:p>
      <w:pPr>
        <w:spacing w:line="0" w:lineRule="atLeast"/>
        <w:ind w:left="287"/>
        <w:rPr>
          <w:rFonts w:ascii="Times New Roman" w:hAnsi="Times New Roman" w:eastAsia="Times New Roman"/>
        </w:rPr>
      </w:pPr>
      <w:r>
        <w:rPr>
          <w:rFonts w:ascii="Times New Roman" w:hAnsi="Times New Roman" w:eastAsia="Times New Roman"/>
        </w:rPr>
        <w:t>При введенні у фоновий розчин добавок MLT і GSH різної концентрації спостерігали появу трьох хвиль.</w:t>
      </w:r>
    </w:p>
    <w:p>
      <w:pPr>
        <w:spacing w:line="20" w:lineRule="exact"/>
        <w:rPr>
          <w:rFonts w:ascii="Times New Roman" w:hAnsi="Times New Roman" w:eastAsia="Times New Roman"/>
        </w:rPr>
      </w:pPr>
      <w:r>
        <w:rPr>
          <w:rFonts w:ascii="Times New Roman" w:hAnsi="Times New Roman" w:eastAsia="Times New Roman"/>
        </w:rPr>
        <w:drawing>
          <wp:anchor distT="0" distB="0" distL="114300" distR="114300" simplePos="0" relativeHeight="252393472" behindDoc="1" locked="0" layoutInCell="1" allowOverlap="1">
            <wp:simplePos x="0" y="0"/>
            <wp:positionH relativeFrom="column">
              <wp:posOffset>-17780</wp:posOffset>
            </wp:positionH>
            <wp:positionV relativeFrom="paragraph">
              <wp:posOffset>185420</wp:posOffset>
            </wp:positionV>
            <wp:extent cx="6158230" cy="8890"/>
            <wp:effectExtent l="0" t="0" r="0" b="0"/>
            <wp:wrapNone/>
            <wp:docPr id="1" name="Изображение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9"/>
                    <pic:cNvPicPr>
                      <a:picLocks noChangeAspect="1"/>
                    </pic:cNvPicPr>
                  </pic:nvPicPr>
                  <pic:blipFill>
                    <a:blip r:embed="rId4"/>
                    <a:stretch>
                      <a:fillRect/>
                    </a:stretch>
                  </pic:blipFill>
                  <pic:spPr>
                    <a:xfrm>
                      <a:off x="0" y="0"/>
                      <a:ext cx="6158230" cy="8890"/>
                    </a:xfrm>
                    <a:prstGeom prst="rect">
                      <a:avLst/>
                    </a:prstGeom>
                    <a:noFill/>
                    <a:ln w="9525">
                      <a:noFill/>
                    </a:ln>
                  </pic:spPr>
                </pic:pic>
              </a:graphicData>
            </a:graphic>
          </wp:anchor>
        </w:drawing>
      </w:r>
    </w:p>
    <w:p>
      <w:pPr>
        <w:spacing w:line="307" w:lineRule="exact"/>
        <w:rPr>
          <w:rFonts w:ascii="Times New Roman" w:hAnsi="Times New Roman" w:eastAsia="Times New Roman"/>
        </w:rPr>
      </w:pPr>
    </w:p>
    <w:p>
      <w:pPr>
        <w:spacing w:line="264" w:lineRule="auto"/>
        <w:ind w:right="13"/>
        <w:jc w:val="center"/>
        <w:rPr>
          <w:rFonts w:ascii="Times New Roman" w:hAnsi="Times New Roman" w:eastAsia="Times New Roman"/>
        </w:rPr>
      </w:pPr>
      <w:r>
        <w:rPr>
          <w:rFonts w:ascii="Times New Roman" w:hAnsi="Times New Roman" w:eastAsia="Times New Roman"/>
        </w:rPr>
        <w:t>ХVII Міжнародна науково-технічна конференція «Фізичні процеси та поля технічних і біологічних об’єктів» 206</w:t>
      </w:r>
    </w:p>
    <w:p>
      <w:pPr>
        <w:spacing w:line="264" w:lineRule="auto"/>
        <w:ind w:right="13"/>
        <w:jc w:val="center"/>
        <w:rPr>
          <w:rFonts w:ascii="Times New Roman" w:hAnsi="Times New Roman" w:eastAsia="Times New Roman"/>
        </w:rPr>
        <w:sectPr>
          <w:pgSz w:w="11900" w:h="16838"/>
          <w:pgMar w:top="545" w:right="1126" w:bottom="0" w:left="1133" w:header="0" w:footer="0" w:gutter="0"/>
          <w:cols w:equalWidth="0" w:num="1">
            <w:col w:w="9647"/>
          </w:cols>
          <w:docGrid w:linePitch="360" w:charSpace="0"/>
        </w:sectPr>
      </w:pPr>
    </w:p>
    <w:p>
      <w:pPr>
        <w:spacing w:line="0" w:lineRule="atLeast"/>
        <w:ind w:right="20"/>
        <w:jc w:val="center"/>
        <w:rPr>
          <w:rFonts w:ascii="Times New Roman" w:hAnsi="Times New Roman" w:eastAsia="Times New Roman"/>
        </w:rPr>
      </w:pPr>
      <w:bookmarkStart w:id="1" w:name="page208"/>
      <w:bookmarkEnd w:id="1"/>
      <w:r>
        <w:rPr>
          <w:rFonts w:ascii="Times New Roman" w:hAnsi="Times New Roman" w:eastAsia="Times New Roman"/>
        </w:rPr>
        <w:t>МОДЕЛЮВАННЯ ЦІЛЬОВИХ ОПЕРАЦІЙ У ТЕХНІЧНИХ</w:t>
      </w:r>
    </w:p>
    <w:p>
      <w:pPr>
        <w:spacing w:line="3" w:lineRule="exact"/>
        <w:rPr>
          <w:rFonts w:ascii="Times New Roman" w:hAnsi="Times New Roman" w:eastAsia="Times New Roman"/>
        </w:rPr>
      </w:pPr>
    </w:p>
    <w:p>
      <w:pPr>
        <w:spacing w:line="0" w:lineRule="atLeast"/>
        <w:jc w:val="center"/>
        <w:rPr>
          <w:rFonts w:ascii="Times New Roman" w:hAnsi="Times New Roman" w:eastAsia="Times New Roman"/>
        </w:rPr>
      </w:pPr>
      <w:r>
        <w:rPr>
          <w:rFonts w:ascii="Times New Roman" w:hAnsi="Times New Roman" w:eastAsia="Times New Roman"/>
        </w:rPr>
        <w:t>І БІОЛОГІЧНИХ СИСТЕМАХ ТА ОБ’ЄКТАХ</w:t>
      </w:r>
    </w:p>
    <w:p>
      <w:pPr>
        <w:spacing w:line="20" w:lineRule="exact"/>
        <w:rPr>
          <w:rFonts w:ascii="Times New Roman" w:hAnsi="Times New Roman" w:eastAsia="Times New Roman"/>
        </w:rPr>
      </w:pPr>
      <w:r>
        <w:rPr>
          <w:rFonts w:ascii="Times New Roman" w:hAnsi="Times New Roman" w:eastAsia="Times New Roman"/>
        </w:rPr>
        <w:drawing>
          <wp:anchor distT="0" distB="0" distL="114300" distR="114300" simplePos="0" relativeHeight="252394496" behindDoc="1" locked="0" layoutInCell="1" allowOverlap="1">
            <wp:simplePos x="0" y="0"/>
            <wp:positionH relativeFrom="column">
              <wp:posOffset>-22225</wp:posOffset>
            </wp:positionH>
            <wp:positionV relativeFrom="paragraph">
              <wp:posOffset>24130</wp:posOffset>
            </wp:positionV>
            <wp:extent cx="6158230" cy="8890"/>
            <wp:effectExtent l="0" t="0" r="0" b="0"/>
            <wp:wrapNone/>
            <wp:docPr id="10" name="Изображение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Изображение 10"/>
                    <pic:cNvPicPr>
                      <a:picLocks noChangeAspect="1"/>
                    </pic:cNvPicPr>
                  </pic:nvPicPr>
                  <pic:blipFill>
                    <a:blip r:embed="rId4"/>
                    <a:stretch>
                      <a:fillRect/>
                    </a:stretch>
                  </pic:blipFill>
                  <pic:spPr>
                    <a:xfrm>
                      <a:off x="0" y="0"/>
                      <a:ext cx="6158230" cy="8890"/>
                    </a:xfrm>
                    <a:prstGeom prst="rect">
                      <a:avLst/>
                    </a:prstGeom>
                    <a:noFill/>
                    <a:ln w="9525">
                      <a:noFill/>
                    </a:ln>
                  </pic:spPr>
                </pic:pic>
              </a:graphicData>
            </a:graphic>
          </wp:anchor>
        </w:drawing>
      </w:r>
    </w:p>
    <w:p>
      <w:pPr>
        <w:spacing w:line="82" w:lineRule="exact"/>
        <w:rPr>
          <w:rFonts w:ascii="Times New Roman" w:hAnsi="Times New Roman" w:eastAsia="Times New Roman"/>
        </w:rPr>
      </w:pPr>
    </w:p>
    <w:p>
      <w:pPr>
        <w:spacing w:line="241" w:lineRule="auto"/>
        <w:ind w:right="20"/>
        <w:jc w:val="both"/>
        <w:rPr>
          <w:rFonts w:ascii="Times New Roman" w:hAnsi="Times New Roman" w:eastAsia="Times New Roman"/>
        </w:rPr>
      </w:pPr>
      <w:r>
        <w:rPr>
          <w:rFonts w:ascii="Times New Roman" w:hAnsi="Times New Roman" w:eastAsia="Times New Roman"/>
        </w:rPr>
        <w:t xml:space="preserve">При цьому потенціал відновлення </w:t>
      </w:r>
      <w:r>
        <w:rPr>
          <w:rFonts w:ascii="Times New Roman" w:hAnsi="Times New Roman" w:eastAsia="Times New Roman"/>
          <w:b/>
        </w:rPr>
        <w:t>(</w:t>
      </w:r>
      <w:r>
        <w:rPr>
          <w:rFonts w:ascii="Times New Roman" w:hAnsi="Times New Roman" w:eastAsia="Times New Roman"/>
        </w:rPr>
        <w:t>φ) першої хвилі не змінювався, що вказує на відновлення однакових по типу та формі електрохімічно активних частинок (ЕАЧ). Збільшення концентрацій добавок MLT і GSН призводить до істотного зниження граничного струму перших хвиль на вольтамперних кривих за рахунок чисто хімічної</w:t>
      </w:r>
    </w:p>
    <w:tbl>
      <w:tblPr>
        <w:tblStyle w:val="3"/>
        <w:tblW w:w="96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700"/>
        <w:gridCol w:w="9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0" w:hRule="atLeast"/>
        </w:trPr>
        <w:tc>
          <w:tcPr>
            <w:tcW w:w="8700" w:type="dxa"/>
            <w:shd w:val="clear" w:color="auto" w:fill="auto"/>
            <w:vAlign w:val="bottom"/>
          </w:tcPr>
          <w:p>
            <w:pPr>
              <w:spacing w:line="0" w:lineRule="atLeast"/>
              <w:rPr>
                <w:rFonts w:ascii="Times New Roman" w:hAnsi="Times New Roman" w:eastAsia="Times New Roman"/>
              </w:rPr>
            </w:pPr>
            <w:r>
              <w:rPr>
                <w:rFonts w:ascii="Times New Roman" w:hAnsi="Times New Roman" w:eastAsia="Times New Roman"/>
              </w:rPr>
              <w:t>реакції в об’ємній фазі розчину за схемою (4):</w:t>
            </w:r>
          </w:p>
        </w:tc>
        <w:tc>
          <w:tcPr>
            <w:tcW w:w="940" w:type="dxa"/>
            <w:shd w:val="clear" w:color="auto" w:fill="auto"/>
            <w:vAlign w:val="bottom"/>
          </w:tcPr>
          <w:p>
            <w:pPr>
              <w:spacing w:line="0" w:lineRule="atLeast"/>
              <w:rPr>
                <w:rFonts w:ascii="Times New Roman" w:hAnsi="Times New Roman" w:eastAsia="Times New Roma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0" w:hRule="atLeast"/>
        </w:trPr>
        <w:tc>
          <w:tcPr>
            <w:tcW w:w="8700" w:type="dxa"/>
            <w:shd w:val="clear" w:color="auto" w:fill="auto"/>
            <w:vAlign w:val="bottom"/>
          </w:tcPr>
          <w:p>
            <w:pPr>
              <w:spacing w:line="230" w:lineRule="exact"/>
              <w:ind w:left="1900"/>
              <w:rPr>
                <w:rFonts w:ascii="Times New Roman" w:hAnsi="Times New Roman" w:eastAsia="Times New Roman"/>
              </w:rPr>
            </w:pPr>
            <w:r>
              <w:rPr>
                <w:rFonts w:ascii="Times New Roman" w:hAnsi="Times New Roman" w:eastAsia="Times New Roman"/>
              </w:rPr>
              <w:t>C</w:t>
            </w:r>
            <w:r>
              <w:rPr>
                <w:rFonts w:ascii="Times New Roman" w:hAnsi="Times New Roman" w:eastAsia="Times New Roman"/>
                <w:sz w:val="25"/>
                <w:vertAlign w:val="subscript"/>
              </w:rPr>
              <w:t>13</w:t>
            </w:r>
            <w:r>
              <w:rPr>
                <w:rFonts w:ascii="Times New Roman" w:hAnsi="Times New Roman" w:eastAsia="Times New Roman"/>
              </w:rPr>
              <w:t>H</w:t>
            </w:r>
            <w:r>
              <w:rPr>
                <w:rFonts w:ascii="Times New Roman" w:hAnsi="Times New Roman" w:eastAsia="Times New Roman"/>
                <w:sz w:val="25"/>
                <w:vertAlign w:val="subscript"/>
              </w:rPr>
              <w:t>16</w:t>
            </w:r>
            <w:r>
              <w:rPr>
                <w:rFonts w:ascii="Times New Roman" w:hAnsi="Times New Roman" w:eastAsia="Times New Roman"/>
              </w:rPr>
              <w:t>N</w:t>
            </w:r>
            <w:r>
              <w:rPr>
                <w:rFonts w:ascii="Times New Roman" w:hAnsi="Times New Roman" w:eastAsia="Times New Roman"/>
                <w:sz w:val="25"/>
                <w:vertAlign w:val="subscript"/>
              </w:rPr>
              <w:t>2</w:t>
            </w:r>
            <w:r>
              <w:rPr>
                <w:rFonts w:ascii="Times New Roman" w:hAnsi="Times New Roman" w:eastAsia="Times New Roman"/>
              </w:rPr>
              <w:t>O</w:t>
            </w:r>
            <w:r>
              <w:rPr>
                <w:rFonts w:ascii="Times New Roman" w:hAnsi="Times New Roman" w:eastAsia="Times New Roman"/>
                <w:sz w:val="25"/>
                <w:vertAlign w:val="subscript"/>
              </w:rPr>
              <w:t>2</w:t>
            </w:r>
            <w:r>
              <w:rPr>
                <w:rFonts w:ascii="Times New Roman" w:hAnsi="Times New Roman" w:eastAsia="Times New Roman"/>
              </w:rPr>
              <w:t xml:space="preserve"> [C</w:t>
            </w:r>
            <w:r>
              <w:rPr>
                <w:rFonts w:ascii="Times New Roman" w:hAnsi="Times New Roman" w:eastAsia="Times New Roman"/>
                <w:sz w:val="25"/>
                <w:vertAlign w:val="subscript"/>
              </w:rPr>
              <w:t>10</w:t>
            </w:r>
            <w:r>
              <w:rPr>
                <w:rFonts w:ascii="Times New Roman" w:hAnsi="Times New Roman" w:eastAsia="Times New Roman"/>
              </w:rPr>
              <w:t>H</w:t>
            </w:r>
            <w:r>
              <w:rPr>
                <w:rFonts w:ascii="Times New Roman" w:hAnsi="Times New Roman" w:eastAsia="Times New Roman"/>
                <w:sz w:val="25"/>
                <w:vertAlign w:val="subscript"/>
              </w:rPr>
              <w:t>17</w:t>
            </w:r>
            <w:r>
              <w:rPr>
                <w:rFonts w:ascii="Times New Roman" w:hAnsi="Times New Roman" w:eastAsia="Times New Roman"/>
              </w:rPr>
              <w:t>N</w:t>
            </w:r>
            <w:r>
              <w:rPr>
                <w:rFonts w:ascii="Times New Roman" w:hAnsi="Times New Roman" w:eastAsia="Times New Roman"/>
                <w:sz w:val="25"/>
                <w:vertAlign w:val="subscript"/>
              </w:rPr>
              <w:t>3</w:t>
            </w:r>
            <w:r>
              <w:rPr>
                <w:rFonts w:ascii="Times New Roman" w:hAnsi="Times New Roman" w:eastAsia="Times New Roman"/>
              </w:rPr>
              <w:t>O</w:t>
            </w:r>
            <w:r>
              <w:rPr>
                <w:rFonts w:ascii="Times New Roman" w:hAnsi="Times New Roman" w:eastAsia="Times New Roman"/>
                <w:sz w:val="25"/>
                <w:vertAlign w:val="subscript"/>
              </w:rPr>
              <w:t>6</w:t>
            </w:r>
            <w:r>
              <w:rPr>
                <w:rFonts w:ascii="Times New Roman" w:hAnsi="Times New Roman" w:eastAsia="Times New Roman"/>
              </w:rPr>
              <w:t>S] + •OH → •C</w:t>
            </w:r>
            <w:r>
              <w:rPr>
                <w:rFonts w:ascii="Times New Roman" w:hAnsi="Times New Roman" w:eastAsia="Times New Roman"/>
                <w:sz w:val="25"/>
                <w:vertAlign w:val="subscript"/>
              </w:rPr>
              <w:t>13</w:t>
            </w:r>
            <w:r>
              <w:rPr>
                <w:rFonts w:ascii="Times New Roman" w:hAnsi="Times New Roman" w:eastAsia="Times New Roman"/>
              </w:rPr>
              <w:t>H</w:t>
            </w:r>
            <w:r>
              <w:rPr>
                <w:rFonts w:ascii="Times New Roman" w:hAnsi="Times New Roman" w:eastAsia="Times New Roman"/>
                <w:sz w:val="25"/>
                <w:vertAlign w:val="subscript"/>
              </w:rPr>
              <w:t>15</w:t>
            </w:r>
            <w:r>
              <w:rPr>
                <w:rFonts w:ascii="Times New Roman" w:hAnsi="Times New Roman" w:eastAsia="Times New Roman"/>
              </w:rPr>
              <w:t>N</w:t>
            </w:r>
            <w:r>
              <w:rPr>
                <w:rFonts w:ascii="Times New Roman" w:hAnsi="Times New Roman" w:eastAsia="Times New Roman"/>
                <w:sz w:val="25"/>
                <w:vertAlign w:val="subscript"/>
              </w:rPr>
              <w:t>2</w:t>
            </w:r>
            <w:r>
              <w:rPr>
                <w:rFonts w:ascii="Times New Roman" w:hAnsi="Times New Roman" w:eastAsia="Times New Roman"/>
              </w:rPr>
              <w:t>O</w:t>
            </w:r>
            <w:r>
              <w:rPr>
                <w:rFonts w:ascii="Times New Roman" w:hAnsi="Times New Roman" w:eastAsia="Times New Roman"/>
                <w:sz w:val="25"/>
                <w:vertAlign w:val="subscript"/>
              </w:rPr>
              <w:t>2</w:t>
            </w:r>
            <w:r>
              <w:rPr>
                <w:rFonts w:ascii="Times New Roman" w:hAnsi="Times New Roman" w:eastAsia="Times New Roman"/>
              </w:rPr>
              <w:t xml:space="preserve"> [•C</w:t>
            </w:r>
            <w:r>
              <w:rPr>
                <w:rFonts w:ascii="Times New Roman" w:hAnsi="Times New Roman" w:eastAsia="Times New Roman"/>
                <w:sz w:val="25"/>
                <w:vertAlign w:val="subscript"/>
              </w:rPr>
              <w:t>10</w:t>
            </w:r>
            <w:r>
              <w:rPr>
                <w:rFonts w:ascii="Times New Roman" w:hAnsi="Times New Roman" w:eastAsia="Times New Roman"/>
              </w:rPr>
              <w:t>H</w:t>
            </w:r>
            <w:r>
              <w:rPr>
                <w:rFonts w:ascii="Times New Roman" w:hAnsi="Times New Roman" w:eastAsia="Times New Roman"/>
                <w:sz w:val="25"/>
                <w:vertAlign w:val="subscript"/>
              </w:rPr>
              <w:t>16</w:t>
            </w:r>
            <w:r>
              <w:rPr>
                <w:rFonts w:ascii="Times New Roman" w:hAnsi="Times New Roman" w:eastAsia="Times New Roman"/>
              </w:rPr>
              <w:t>N</w:t>
            </w:r>
            <w:r>
              <w:rPr>
                <w:rFonts w:ascii="Times New Roman" w:hAnsi="Times New Roman" w:eastAsia="Times New Roman"/>
                <w:sz w:val="25"/>
                <w:vertAlign w:val="subscript"/>
              </w:rPr>
              <w:t>3</w:t>
            </w:r>
            <w:r>
              <w:rPr>
                <w:rFonts w:ascii="Times New Roman" w:hAnsi="Times New Roman" w:eastAsia="Times New Roman"/>
              </w:rPr>
              <w:t>O</w:t>
            </w:r>
            <w:r>
              <w:rPr>
                <w:rFonts w:ascii="Times New Roman" w:hAnsi="Times New Roman" w:eastAsia="Times New Roman"/>
                <w:sz w:val="25"/>
                <w:vertAlign w:val="subscript"/>
              </w:rPr>
              <w:t>6</w:t>
            </w:r>
            <w:r>
              <w:rPr>
                <w:rFonts w:ascii="Times New Roman" w:hAnsi="Times New Roman" w:eastAsia="Times New Roman"/>
              </w:rPr>
              <w:t>S] + H</w:t>
            </w:r>
            <w:r>
              <w:rPr>
                <w:rFonts w:ascii="Times New Roman" w:hAnsi="Times New Roman" w:eastAsia="Times New Roman"/>
                <w:sz w:val="25"/>
                <w:vertAlign w:val="subscript"/>
              </w:rPr>
              <w:t>2</w:t>
            </w:r>
            <w:r>
              <w:rPr>
                <w:rFonts w:ascii="Times New Roman" w:hAnsi="Times New Roman" w:eastAsia="Times New Roman"/>
              </w:rPr>
              <w:t>O,</w:t>
            </w:r>
          </w:p>
        </w:tc>
        <w:tc>
          <w:tcPr>
            <w:tcW w:w="940" w:type="dxa"/>
            <w:shd w:val="clear" w:color="auto" w:fill="auto"/>
            <w:vAlign w:val="bottom"/>
          </w:tcPr>
          <w:p>
            <w:pPr>
              <w:spacing w:line="0" w:lineRule="atLeast"/>
              <w:jc w:val="right"/>
              <w:rPr>
                <w:rFonts w:ascii="Times New Roman" w:hAnsi="Times New Roman" w:eastAsia="Times New Roman"/>
              </w:rPr>
            </w:pPr>
            <w:r>
              <w:rPr>
                <w:rFonts w:ascii="Times New Roman" w:hAnsi="Times New Roman" w:eastAsia="Times New Roman"/>
              </w:rPr>
              <w:t>(4)</w:t>
            </w:r>
          </w:p>
        </w:tc>
      </w:tr>
    </w:tbl>
    <w:p>
      <w:pPr>
        <w:spacing w:line="0" w:lineRule="atLeast"/>
        <w:rPr>
          <w:rFonts w:ascii="Times New Roman" w:hAnsi="Times New Roman" w:eastAsia="Times New Roman"/>
        </w:rPr>
      </w:pPr>
      <w:r>
        <w:rPr>
          <w:rFonts w:ascii="Times New Roman" w:hAnsi="Times New Roman" w:eastAsia="Times New Roman"/>
        </w:rPr>
        <w:t>що вказує на зменшення кількості ЕАЧ типу •OH.</w:t>
      </w:r>
    </w:p>
    <w:p>
      <w:pPr>
        <w:spacing w:line="272" w:lineRule="auto"/>
        <w:ind w:right="20" w:firstLine="476"/>
        <w:jc w:val="both"/>
        <w:rPr>
          <w:rFonts w:ascii="Times New Roman" w:hAnsi="Times New Roman" w:eastAsia="Times New Roman"/>
        </w:rPr>
      </w:pPr>
      <w:r>
        <w:rPr>
          <w:rFonts w:ascii="Times New Roman" w:hAnsi="Times New Roman" w:eastAsia="Times New Roman"/>
        </w:rPr>
        <w:drawing>
          <wp:anchor distT="0" distB="0" distL="114300" distR="114300" simplePos="0" relativeHeight="252395520" behindDoc="1" locked="0" layoutInCell="1" allowOverlap="1">
            <wp:simplePos x="0" y="0"/>
            <wp:positionH relativeFrom="column">
              <wp:posOffset>1653540</wp:posOffset>
            </wp:positionH>
            <wp:positionV relativeFrom="paragraph">
              <wp:posOffset>299720</wp:posOffset>
            </wp:positionV>
            <wp:extent cx="1181100" cy="190500"/>
            <wp:effectExtent l="0" t="0" r="0" b="0"/>
            <wp:wrapNone/>
            <wp:docPr id="9" name="Изображение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Изображение 11"/>
                    <pic:cNvPicPr>
                      <a:picLocks noChangeAspect="1"/>
                    </pic:cNvPicPr>
                  </pic:nvPicPr>
                  <pic:blipFill>
                    <a:blip r:embed="rId8"/>
                    <a:stretch>
                      <a:fillRect/>
                    </a:stretch>
                  </pic:blipFill>
                  <pic:spPr>
                    <a:xfrm>
                      <a:off x="0" y="0"/>
                      <a:ext cx="1181100" cy="190500"/>
                    </a:xfrm>
                    <a:prstGeom prst="rect">
                      <a:avLst/>
                    </a:prstGeom>
                    <a:noFill/>
                    <a:ln w="9525">
                      <a:noFill/>
                    </a:ln>
                  </pic:spPr>
                </pic:pic>
              </a:graphicData>
            </a:graphic>
          </wp:anchor>
        </w:drawing>
      </w:r>
      <w:r>
        <w:rPr>
          <w:rFonts w:ascii="Times New Roman" w:hAnsi="Times New Roman" w:eastAsia="Times New Roman"/>
        </w:rPr>
        <w:t>Подальше відновленням •OH, концентрація яких буде зменшуватися внаслідок реакції (4) при введенні добавок MLT[GSH] буде спостерігатися при незмінному потенціалі (0,2 В) на електроді за такою реакцією:</w:t>
      </w:r>
    </w:p>
    <w:p>
      <w:pPr>
        <w:spacing w:line="20" w:lineRule="exact"/>
        <w:rPr>
          <w:rFonts w:ascii="Times New Roman" w:hAnsi="Times New Roman" w:eastAsia="Times New Roman"/>
        </w:rPr>
      </w:pPr>
    </w:p>
    <w:p>
      <w:pPr>
        <w:spacing w:line="148" w:lineRule="exact"/>
        <w:rPr>
          <w:rFonts w:ascii="Times New Roman" w:hAnsi="Times New Roman" w:eastAsia="Times New Roman"/>
        </w:rPr>
      </w:pPr>
      <w:r>
        <w:rPr>
          <w:rFonts w:ascii="Times New Roman" w:hAnsi="Times New Roman" w:eastAsia="Times New Roman"/>
        </w:rPr>
        <w:drawing>
          <wp:anchor distT="0" distB="0" distL="114300" distR="114300" simplePos="0" relativeHeight="252396544" behindDoc="1" locked="0" layoutInCell="1" allowOverlap="1">
            <wp:simplePos x="0" y="0"/>
            <wp:positionH relativeFrom="column">
              <wp:posOffset>569595</wp:posOffset>
            </wp:positionH>
            <wp:positionV relativeFrom="paragraph">
              <wp:posOffset>14605</wp:posOffset>
            </wp:positionV>
            <wp:extent cx="4773295" cy="2164715"/>
            <wp:effectExtent l="0" t="0" r="8255" b="6985"/>
            <wp:wrapNone/>
            <wp:docPr id="7" name="Изображение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 12"/>
                    <pic:cNvPicPr>
                      <a:picLocks noChangeAspect="1"/>
                    </pic:cNvPicPr>
                  </pic:nvPicPr>
                  <pic:blipFill>
                    <a:blip r:embed="rId9"/>
                    <a:stretch>
                      <a:fillRect/>
                    </a:stretch>
                  </pic:blipFill>
                  <pic:spPr>
                    <a:xfrm>
                      <a:off x="0" y="0"/>
                      <a:ext cx="4773295" cy="2164715"/>
                    </a:xfrm>
                    <a:prstGeom prst="rect">
                      <a:avLst/>
                    </a:prstGeom>
                    <a:noFill/>
                    <a:ln w="9525">
                      <a:noFill/>
                    </a:ln>
                  </pic:spPr>
                </pic:pic>
              </a:graphicData>
            </a:graphic>
          </wp:anchor>
        </w:drawing>
      </w:r>
    </w:p>
    <w:p>
      <w:pPr>
        <w:spacing w:line="0" w:lineRule="atLeast"/>
        <w:ind w:left="9400"/>
        <w:rPr>
          <w:rFonts w:ascii="Times New Roman" w:hAnsi="Times New Roman" w:eastAsia="Times New Roman"/>
        </w:rPr>
      </w:pPr>
      <w:r>
        <w:rPr>
          <w:rFonts w:ascii="Times New Roman" w:hAnsi="Times New Roman" w:eastAsia="Times New Roman"/>
        </w:rPr>
        <w:t>(5)</w:t>
      </w:r>
    </w:p>
    <w:p>
      <w:pPr>
        <w:spacing w:line="2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0" w:lineRule="atLeast"/>
        <w:ind w:left="500"/>
        <w:rPr>
          <w:rFonts w:ascii="Times New Roman" w:hAnsi="Times New Roman" w:eastAsia="Times New Roman"/>
          <w:i/>
        </w:rPr>
      </w:pPr>
      <w:r>
        <w:rPr>
          <w:rFonts w:ascii="Times New Roman" w:hAnsi="Times New Roman" w:eastAsia="Times New Roman"/>
          <w:i/>
        </w:rPr>
        <w:t>Рис. 1 – Диференціальні вольтамперограми відновлення АФК на мідному катоді на фоні 0,1М NaCl у воді</w:t>
      </w:r>
      <w:r>
        <w:rPr>
          <w:rFonts w:ascii="Times New Roman" w:hAnsi="Times New Roman" w:eastAsia="Times New Roman"/>
          <w:i/>
          <w:lang w:val="uk-UA"/>
        </w:rPr>
        <w:t xml:space="preserve"> в </w:t>
      </w:r>
      <w:r>
        <w:rPr>
          <w:rFonts w:ascii="Times New Roman" w:hAnsi="Times New Roman" w:eastAsia="Times New Roman"/>
          <w:i/>
        </w:rPr>
        <w:t xml:space="preserve">присутності різних концентрацій антиоксидантів: MLT(а): 2 –0,39; 3 </w:t>
      </w:r>
      <w:r>
        <w:rPr>
          <w:rFonts w:ascii="Times New Roman" w:hAnsi="Times New Roman" w:eastAsia="Times New Roman"/>
          <w:b/>
          <w:i/>
        </w:rPr>
        <w:t>– 0,74</w:t>
      </w:r>
      <w:r>
        <w:rPr>
          <w:rFonts w:ascii="Times New Roman" w:hAnsi="Times New Roman" w:eastAsia="Times New Roman"/>
          <w:i/>
        </w:rPr>
        <w:t>; 4 – 1,07; 5 – 1,67; 6 – 2,18·10</w:t>
      </w:r>
      <w:r>
        <w:rPr>
          <w:rFonts w:ascii="Times New Roman" w:hAnsi="Times New Roman" w:eastAsia="Times New Roman"/>
          <w:i/>
          <w:sz w:val="25"/>
          <w:vertAlign w:val="superscript"/>
        </w:rPr>
        <w:t>-3</w:t>
      </w:r>
      <w:r>
        <w:rPr>
          <w:rFonts w:ascii="Times New Roman" w:hAnsi="Times New Roman" w:eastAsia="Times New Roman"/>
          <w:i/>
        </w:rPr>
        <w:t xml:space="preserve"> М/дм</w:t>
      </w:r>
      <w:r>
        <w:rPr>
          <w:rFonts w:ascii="Times New Roman" w:hAnsi="Times New Roman" w:eastAsia="Times New Roman"/>
          <w:i/>
          <w:sz w:val="25"/>
          <w:vertAlign w:val="superscript"/>
        </w:rPr>
        <w:t>3</w:t>
      </w:r>
      <w:r>
        <w:rPr>
          <w:rFonts w:ascii="Times New Roman" w:hAnsi="Times New Roman" w:eastAsia="Times New Roman"/>
          <w:i/>
        </w:rPr>
        <w:t xml:space="preserve">; GSH (б): 2 – 0,24; 3 – 0,47; 4 – </w:t>
      </w:r>
      <w:r>
        <w:rPr>
          <w:rFonts w:ascii="Times New Roman" w:hAnsi="Times New Roman" w:eastAsia="Times New Roman"/>
          <w:b/>
          <w:i/>
        </w:rPr>
        <w:t>0,74</w:t>
      </w:r>
      <w:r>
        <w:rPr>
          <w:rFonts w:ascii="Times New Roman" w:hAnsi="Times New Roman" w:eastAsia="Times New Roman"/>
          <w:i/>
        </w:rPr>
        <w:t>; 5 – 0,91; 6 – 1,1·10</w:t>
      </w:r>
      <w:r>
        <w:rPr>
          <w:rFonts w:ascii="Times New Roman" w:hAnsi="Times New Roman" w:eastAsia="Times New Roman"/>
          <w:i/>
          <w:sz w:val="25"/>
          <w:vertAlign w:val="superscript"/>
        </w:rPr>
        <w:t>-3</w:t>
      </w:r>
      <w:r>
        <w:rPr>
          <w:rFonts w:ascii="Times New Roman" w:hAnsi="Times New Roman" w:eastAsia="Times New Roman"/>
          <w:i/>
        </w:rPr>
        <w:t xml:space="preserve"> М/дм</w:t>
      </w:r>
      <w:r>
        <w:rPr>
          <w:rFonts w:ascii="Times New Roman" w:hAnsi="Times New Roman" w:eastAsia="Times New Roman"/>
          <w:i/>
          <w:sz w:val="25"/>
          <w:vertAlign w:val="superscript"/>
        </w:rPr>
        <w:t>3</w:t>
      </w:r>
      <w:r>
        <w:rPr>
          <w:rFonts w:ascii="Times New Roman" w:hAnsi="Times New Roman" w:eastAsia="Times New Roman"/>
          <w:i/>
        </w:rPr>
        <w:t>.</w:t>
      </w:r>
    </w:p>
    <w:p>
      <w:pPr>
        <w:spacing w:line="65" w:lineRule="exact"/>
        <w:rPr>
          <w:rFonts w:ascii="Times New Roman" w:hAnsi="Times New Roman" w:eastAsia="Times New Roman"/>
        </w:rPr>
      </w:pPr>
    </w:p>
    <w:p>
      <w:pPr>
        <w:spacing w:line="239" w:lineRule="auto"/>
        <w:ind w:firstLine="284"/>
        <w:jc w:val="both"/>
        <w:rPr>
          <w:rFonts w:ascii="Times New Roman" w:hAnsi="Times New Roman" w:eastAsia="Times New Roman"/>
        </w:rPr>
      </w:pPr>
      <w:r>
        <w:rPr>
          <w:rFonts w:ascii="Times New Roman" w:hAnsi="Times New Roman" w:eastAsia="Times New Roman"/>
        </w:rPr>
        <w:t>На відміну від першої хвилі спостерігається катодний зсув другої хвилі потенціалу відновлення, встановле-ний як при введенні добавок MLT, так і GSH. Так як результати квантовохімічних досліджень взаємодії •ООˉ з MLT та GSH не вказують на розрив водневих зв’язків в молекулах MLT і GSH, а вказують на вірогідність утво-рення комплексів, то експериментально знайдений катодний зсув потенціалу 2 хвилі відновлення для обох ви-падків, однозначно вказує на процес відновлення електроактивних комплексів, тип, форма і кількість яких ви-значається концентрацією MLT і GSH відносно •ООˉ. Зсув хвилі відновлення •ООˉ в присутності GSH відбува-ється в сторону зменшення значення потенціалу відновлення, а в присутності MLT – в бік збільшення, що пі-дтверджує більш виражені антирадикальні властивості GSH у порівнянні з MLT. Таке обґрунтування зсуву дру-гої хвилі процесу одноелектронного відновлення ЕАЧ корелює із результатами квантовохімічної оцінки зна-чень енергії активації при одноелектронному переносі заряду, які різняться для «ізольованої» молекули •ООˉ та комплексів {MLT•ООˉ} і {GSH•ООˉ}. Незмінність потенціалу відновлення та зменшення граничного струму (1 хвиля) та катодний зсув потенціалу (2 хвиля) зі збільшенням концентрації антиоксидантів при взаємодії із вільними радикалами для обох випадків є прямим підтвердженням на макрорівні результатів квантовохімічних розрахунків.</w:t>
      </w:r>
    </w:p>
    <w:p>
      <w:pPr>
        <w:spacing w:line="13" w:lineRule="exact"/>
        <w:rPr>
          <w:rFonts w:ascii="Times New Roman" w:hAnsi="Times New Roman" w:eastAsia="Times New Roman"/>
        </w:rPr>
      </w:pPr>
    </w:p>
    <w:p>
      <w:pPr>
        <w:spacing w:line="246" w:lineRule="auto"/>
        <w:ind w:firstLine="425"/>
        <w:jc w:val="both"/>
        <w:rPr>
          <w:rFonts w:ascii="Times New Roman" w:hAnsi="Times New Roman" w:eastAsia="Times New Roman"/>
        </w:rPr>
      </w:pPr>
      <w:r>
        <w:rPr>
          <w:rFonts w:ascii="Times New Roman" w:hAnsi="Times New Roman" w:eastAsia="Times New Roman"/>
        </w:rPr>
        <w:t>ВИСНОВОК. На макроскопічному рівні підтверджена принципова відмінність встановлена теоретично механізму інгібуваня молекулами антиоксидантів гідроксил- та супероксид-аніон-радикала на фоні превалюю-чої антирадикальної активності глутатіону в порівнянні з мелатоніном. Встановлена кореляція зміни макроско-пічних параметрів процесу електровідновлення вільних радикалів кисню в присутності антиоксидантів з отри-маними на нанорівні результатами квантовохімічних досліджень при взаємодії молекули мелатоніну та глутаті-ону із вільним радикалами кисню.</w:t>
      </w:r>
    </w:p>
    <w:p>
      <w:pPr>
        <w:spacing w:line="196" w:lineRule="exact"/>
        <w:rPr>
          <w:rFonts w:ascii="Times New Roman" w:hAnsi="Times New Roman" w:eastAsia="Times New Roman"/>
        </w:rPr>
      </w:pPr>
    </w:p>
    <w:p>
      <w:pPr>
        <w:spacing w:line="0" w:lineRule="atLeast"/>
        <w:ind w:left="4480"/>
        <w:rPr>
          <w:rFonts w:ascii="Times New Roman" w:hAnsi="Times New Roman" w:eastAsia="Times New Roman"/>
        </w:rPr>
      </w:pPr>
      <w:r>
        <w:rPr>
          <w:rFonts w:ascii="Times New Roman" w:hAnsi="Times New Roman" w:eastAsia="Times New Roman"/>
        </w:rPr>
        <w:t>ЛІТЕРАТУРА</w:t>
      </w:r>
    </w:p>
    <w:p>
      <w:pPr>
        <w:numPr>
          <w:ilvl w:val="1"/>
          <w:numId w:val="1"/>
        </w:numPr>
        <w:tabs>
          <w:tab w:val="left" w:pos="497"/>
        </w:tabs>
        <w:spacing w:line="239" w:lineRule="auto"/>
        <w:ind w:firstLine="276"/>
        <w:jc w:val="both"/>
        <w:rPr>
          <w:rFonts w:ascii="Times New Roman" w:hAnsi="Times New Roman" w:eastAsia="Times New Roman"/>
        </w:rPr>
      </w:pPr>
      <w:r>
        <w:rPr>
          <w:rFonts w:ascii="Times New Roman" w:hAnsi="Times New Roman" w:eastAsia="Times New Roman"/>
        </w:rPr>
        <w:t>Соловйов В.В. Моделювання антиоксидантних властивостей молекули мелатоніна при взаємодії з деяки-ми вільними радикалами / В.В. Соловйов, Т.Ю. Кузнецова // Науковий вісник Чернівецького університету: Зб. наук. праць.: Хімія – 2012.– Вип. 606. – С.92–96.</w:t>
      </w:r>
    </w:p>
    <w:p>
      <w:pPr>
        <w:spacing w:line="1" w:lineRule="exact"/>
        <w:rPr>
          <w:rFonts w:ascii="Times New Roman" w:hAnsi="Times New Roman" w:eastAsia="Times New Roman"/>
        </w:rPr>
      </w:pPr>
    </w:p>
    <w:p>
      <w:pPr>
        <w:numPr>
          <w:ilvl w:val="2"/>
          <w:numId w:val="1"/>
        </w:numPr>
        <w:tabs>
          <w:tab w:val="left" w:pos="624"/>
        </w:tabs>
        <w:spacing w:line="0" w:lineRule="atLeast"/>
        <w:ind w:firstLine="327"/>
        <w:jc w:val="both"/>
        <w:rPr>
          <w:rFonts w:ascii="Times New Roman" w:hAnsi="Times New Roman" w:eastAsia="Times New Roman"/>
        </w:rPr>
      </w:pPr>
      <w:r>
        <w:rPr>
          <w:rFonts w:ascii="Times New Roman" w:hAnsi="Times New Roman" w:eastAsia="Times New Roman"/>
        </w:rPr>
        <w:t>Kuznetsovа T.Y. Antioxidant activity of melatonin and glutathione interacting with hydroxyl- and superoxide anion radicals /T.Y. Kuznetsovа, N.V. Solovyovа, V.V. Solovyov, V.O.Kostenko // Ukr. Biochem. J. – 2017. – № 12. – P. 146-152.</w:t>
      </w:r>
    </w:p>
    <w:p>
      <w:pPr>
        <w:spacing w:line="2" w:lineRule="exact"/>
        <w:rPr>
          <w:rFonts w:ascii="Times New Roman" w:hAnsi="Times New Roman" w:eastAsia="Times New Roman"/>
        </w:rPr>
      </w:pPr>
    </w:p>
    <w:p>
      <w:pPr>
        <w:spacing w:line="256" w:lineRule="auto"/>
        <w:ind w:firstLine="334"/>
        <w:jc w:val="both"/>
        <w:rPr>
          <w:rFonts w:ascii="Times New Roman" w:hAnsi="Times New Roman" w:eastAsia="Times New Roman"/>
        </w:rPr>
      </w:pPr>
      <w:r>
        <w:rPr>
          <w:rFonts w:ascii="Times New Roman" w:hAnsi="Times New Roman" w:eastAsia="Times New Roman"/>
        </w:rPr>
        <w:t>3 Громовая В.Ф. Электрохимическое моделирование элементарных стадий окислительно-восстановительных реакций в биосистемах /В.Ф. Громовая, Г.С. Шаповал, В.П. Кухарь // Доповіді НАН Украї-ни. − 1995. − № 3. − С.92–94 .</w:t>
      </w:r>
    </w:p>
    <w:p>
      <w:pPr>
        <w:spacing w:line="20" w:lineRule="exact"/>
        <w:rPr>
          <w:rFonts w:ascii="Times New Roman" w:hAnsi="Times New Roman" w:eastAsia="Times New Roman"/>
        </w:rPr>
      </w:pPr>
    </w:p>
    <w:p>
      <w:pPr>
        <w:spacing w:line="200" w:lineRule="exact"/>
        <w:rPr>
          <w:rFonts w:ascii="Times New Roman" w:hAnsi="Times New Roman" w:eastAsia="Times New Roman"/>
        </w:rPr>
      </w:pPr>
    </w:p>
    <w:p>
      <w:pPr>
        <w:spacing w:line="264" w:lineRule="auto"/>
        <w:ind w:right="20"/>
        <w:jc w:val="both"/>
        <w:rPr>
          <w:rFonts w:ascii="Times New Roman" w:hAnsi="Times New Roman" w:eastAsia="Times New Roman"/>
        </w:rPr>
      </w:pPr>
      <w:r>
        <w:rPr>
          <w:rFonts w:ascii="Times New Roman" w:hAnsi="Times New Roman" w:eastAsia="Times New Roman"/>
        </w:rPr>
        <w:drawing>
          <wp:anchor distT="0" distB="0" distL="114300" distR="114300" simplePos="0" relativeHeight="252397568" behindDoc="1" locked="0" layoutInCell="1" allowOverlap="1">
            <wp:simplePos x="0" y="0"/>
            <wp:positionH relativeFrom="column">
              <wp:posOffset>-32385</wp:posOffset>
            </wp:positionH>
            <wp:positionV relativeFrom="paragraph">
              <wp:posOffset>6350</wp:posOffset>
            </wp:positionV>
            <wp:extent cx="6158230" cy="8890"/>
            <wp:effectExtent l="0" t="0" r="0" b="0"/>
            <wp:wrapNone/>
            <wp:docPr id="6" name="Изображение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 13"/>
                    <pic:cNvPicPr>
                      <a:picLocks noChangeAspect="1"/>
                    </pic:cNvPicPr>
                  </pic:nvPicPr>
                  <pic:blipFill>
                    <a:blip r:embed="rId4"/>
                    <a:stretch>
                      <a:fillRect/>
                    </a:stretch>
                  </pic:blipFill>
                  <pic:spPr>
                    <a:xfrm>
                      <a:off x="0" y="0"/>
                      <a:ext cx="6158230" cy="8890"/>
                    </a:xfrm>
                    <a:prstGeom prst="rect">
                      <a:avLst/>
                    </a:prstGeom>
                    <a:noFill/>
                    <a:ln w="9525">
                      <a:noFill/>
                    </a:ln>
                  </pic:spPr>
                </pic:pic>
              </a:graphicData>
            </a:graphic>
          </wp:anchor>
        </w:drawing>
      </w:r>
      <w:r>
        <w:rPr>
          <w:rFonts w:ascii="Times New Roman" w:hAnsi="Times New Roman" w:eastAsia="Times New Roman"/>
        </w:rPr>
        <w:t xml:space="preserve">ХVII Міжнародна науково-технічна конференція «Фізичні процеси та поля технічних і іологічних об’єктів» </w:t>
      </w:r>
    </w:p>
    <w:p>
      <w:pPr>
        <w:spacing w:line="264" w:lineRule="auto"/>
        <w:ind w:right="20"/>
        <w:jc w:val="center"/>
        <w:rPr>
          <w:rFonts w:ascii="Times New Roman" w:hAnsi="Times New Roman" w:eastAsia="Times New Roman"/>
        </w:rPr>
      </w:pPr>
      <w:r>
        <w:rPr>
          <w:rFonts w:ascii="Times New Roman" w:hAnsi="Times New Roman" w:eastAsia="Times New Roman"/>
        </w:rPr>
        <w:t>207</w:t>
      </w:r>
    </w:p>
    <w:p/>
    <w:sectPr>
      <w:pgSz w:w="11906" w:h="16838"/>
      <w:pgMar w:top="240" w:right="1306" w:bottom="198" w:left="12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Calibri"/>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黑体">
    <w:altName w:val="Arial Unicode MS"/>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swiss"/>
    <w:pitch w:val="default"/>
    <w:sig w:usb0="E10002FF" w:usb1="4000ACFF" w:usb2="00000009" w:usb3="00000000" w:csb0="2000019F" w:csb1="00000000"/>
  </w:font>
  <w:font w:name="Arial Unicode MS">
    <w:panose1 w:val="020B0604020202020204"/>
    <w:charset w:val="86"/>
    <w:family w:val="auto"/>
    <w:pitch w:val="default"/>
    <w:sig w:usb0="FFFFFFFF" w:usb1="E9FFFFFF" w:usb2="0000003F" w:usb3="00000000" w:csb0="603F01FF" w:csb1="FFFF0000"/>
  </w:font>
  <w:font w:name="SimSun">
    <w:altName w:val="Times New Roman"/>
    <w:panose1 w:val="00000000000000000000"/>
    <w:charset w:val="86"/>
    <w:family w:val="auto"/>
    <w:pitch w:val="default"/>
    <w:sig w:usb0="00000000" w:usb1="00000000" w:usb2="00000000" w:usb3="00000000" w:csb0="00000000" w:csb1="00000000"/>
  </w:font>
  <w:font w:name="SimSun">
    <w:altName w:val="Arial Unicode MS"/>
    <w:panose1 w:val="02010600030101010101"/>
    <w:charset w:val="86"/>
    <w:family w:val="auto"/>
    <w:pitch w:val="default"/>
    <w:sig w:usb0="00000000" w:usb1="00000000" w:usb2="00000016" w:usb3="00000000" w:csb0="00040001" w:csb1="00000000"/>
  </w:font>
  <w:font w:name="Calibri">
    <w:panose1 w:val="020F0502020204030204"/>
    <w:charset w:val="86"/>
    <w:family w:val="swiss"/>
    <w:pitch w:val="default"/>
    <w:sig w:usb0="E10002FF" w:usb1="4000ACFF" w:usb2="00000009" w:usb3="00000000" w:csb0="2000019F" w:csb1="00000000"/>
  </w:font>
  <w:font w:name="Symbol">
    <w:panose1 w:val="050501020107060205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12"/>
      <w:numFmt w:val="none"/>
      <w:lvlText w:val="࿿࿿࿿_x0010_{"/>
      <w:legacy w:legacy="1" w:legacySpace="268374015" w:legacyIndent="268374015"/>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5888"/>
      <w:numFmt w:val="decimal"/>
      <w:lvlText w:val=""/>
      <w:lvlJc w:val="left"/>
    </w:lvl>
    <w:lvl w:ilvl="5" w:tentative="0">
      <w:start w:val="5888"/>
      <w:numFmt w:val="decimal"/>
      <w:lvlText w:val=""/>
      <w:lvlJc w:val="left"/>
    </w:lvl>
    <w:lvl w:ilvl="6" w:tentative="0">
      <w:start w:val="5888"/>
      <w:numFmt w:val="decimal"/>
      <w:lvlText w:val=""/>
      <w:lvlJc w:val="left"/>
    </w:lvl>
    <w:lvl w:ilvl="7" w:tentative="0">
      <w:start w:val="5888"/>
      <w:numFmt w:val="decimal"/>
      <w:lvlText w:val=""/>
      <w:lvlJc w:val="left"/>
    </w:lvl>
    <w:lvl w:ilvl="8" w:tentative="0">
      <w:start w:val="588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32601B"/>
    <w:rsid w:val="03326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Calibri" w:cs="Arial"/>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Office_10.2.0.7549_F1E327BC-269C-435d-A152-05C5408002CA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2018-12-04T06:53:00Z</dcterms:created>
  <dc:creator>shef</dc:creator>
  <cp:lastModifiedBy>shef</cp:lastModifiedBy>
  <dcterms:modified xsi:type="dcterms:W3CDTF">2018-12-04T06:57:14Z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1033-10.2.0.7549</vt:lpwstr>
  </property>
</Properties>
</file>