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2" w:lineRule="auto"/>
        <w:ind w:right="13"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МЕТОДИ ТА ЗАСОБИ ҐЕНЕРУВАННЯ, ІНДИКАЦІЇ ТА ВИЗНАЧЕННЯ ПАРАМЕТРІВ ФІЗИЧНИХ ПОЛІВ ТЕХНІЧНИХ І БІОЛОГІЧНИХ ОБ’ЄКТІВ</w:t>
      </w:r>
    </w:p>
    <w:p>
      <w:pPr>
        <w:spacing w:line="20" w:lineRule="exac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drawing>
          <wp:anchor distT="0" distB="0" distL="114300" distR="114300" simplePos="0" relativeHeight="251817984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-12700</wp:posOffset>
            </wp:positionV>
            <wp:extent cx="6158230" cy="8890"/>
            <wp:effectExtent l="0" t="0" r="0" b="0"/>
            <wp:wrapNone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8230" cy="8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80" w:lineRule="exact"/>
        <w:rPr>
          <w:rFonts w:ascii="Times New Roman" w:hAnsi="Times New Roman" w:eastAsia="Times New Roman"/>
        </w:rPr>
      </w:pPr>
    </w:p>
    <w:p>
      <w:pPr>
        <w:spacing w:line="182" w:lineRule="auto"/>
        <w:ind w:left="7" w:right="20" w:firstLine="284"/>
        <w:jc w:val="both"/>
        <w:rPr>
          <w:rFonts w:ascii="Times New Roman" w:hAnsi="Times New Roman" w:eastAsia="Times New Roman"/>
          <w:sz w:val="9"/>
        </w:rPr>
      </w:pPr>
      <w:r>
        <w:rPr>
          <w:rFonts w:ascii="Times New Roman" w:hAnsi="Times New Roman" w:eastAsia="Times New Roman"/>
          <w:sz w:val="9"/>
        </w:rPr>
        <w:t xml:space="preserve">Основні властивості розглянутих вище ГІ зберігаються, якщо закон зміни температури ТЕ відрізнятиметься від експоненційного, наприклад при використанні ТЕ з малими значеннями коефіцієнту </w:t>
      </w:r>
      <w:r>
        <w:rPr>
          <w:rFonts w:ascii="Cambria Math" w:hAnsi="Cambria Math" w:eastAsia="Cambria Math"/>
          <w:sz w:val="9"/>
        </w:rPr>
        <w:t>=</w:t>
      </w:r>
      <w:r>
        <w:rPr>
          <w:rFonts w:ascii="Times New Roman" w:hAnsi="Times New Roman" w:eastAsia="Times New Roman"/>
          <w:sz w:val="9"/>
        </w:rPr>
        <w:t xml:space="preserve"> </w:t>
      </w:r>
      <w:r>
        <w:rPr>
          <w:rFonts w:ascii="Cambria Math" w:hAnsi="Cambria Math" w:eastAsia="Cambria Math"/>
          <w:sz w:val="11"/>
          <w:vertAlign w:val="subscript"/>
        </w:rPr>
        <w:t>1</w:t>
      </w:r>
      <w:r>
        <w:rPr>
          <w:rFonts w:ascii="Cambria Math" w:hAnsi="Cambria Math" w:eastAsia="Cambria Math"/>
          <w:sz w:val="9"/>
        </w:rPr>
        <w:t xml:space="preserve">⁄  </w:t>
      </w:r>
      <w:r>
        <w:rPr>
          <w:rFonts w:ascii="Cambria Math" w:hAnsi="Cambria Math" w:eastAsia="Cambria Math"/>
          <w:sz w:val="11"/>
          <w:vertAlign w:val="subscript"/>
        </w:rPr>
        <w:t>2</w:t>
      </w:r>
      <w:r>
        <w:rPr>
          <w:rFonts w:ascii="Times New Roman" w:hAnsi="Times New Roman" w:eastAsia="Times New Roman"/>
          <w:sz w:val="9"/>
        </w:rPr>
        <w:t>.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221" w:lineRule="auto"/>
        <w:ind w:left="7"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Виходячи з проведеного вище аналізу для розгляду було обрано схему мостового симетричного ТМ з опір-ною потужністю (рис. 1), який відрізняється високою стабільністю </w:t>
      </w:r>
      <w:r>
        <w:rPr>
          <w:rFonts w:ascii="Times New Roman" w:hAnsi="Times New Roman" w:eastAsia="Times New Roman"/>
          <w:i/>
          <w:sz w:val="27"/>
          <w:vertAlign w:val="subscript"/>
        </w:rPr>
        <w:t>пер</w:t>
      </w:r>
      <w:r>
        <w:rPr>
          <w:rFonts w:ascii="Times New Roman" w:hAnsi="Times New Roman" w:eastAsia="Times New Roman"/>
        </w:rPr>
        <w:t xml:space="preserve"> і симетрією півперіодів при зміні </w:t>
      </w:r>
      <w:r>
        <w:rPr>
          <w:rFonts w:ascii="Times New Roman" w:hAnsi="Times New Roman" w:eastAsia="Times New Roman"/>
          <w:i/>
          <w:sz w:val="27"/>
          <w:vertAlign w:val="subscript"/>
        </w:rPr>
        <w:t>о</w:t>
      </w:r>
      <w:r>
        <w:rPr>
          <w:rFonts w:ascii="Times New Roman" w:hAnsi="Times New Roman" w:eastAsia="Times New Roman"/>
        </w:rPr>
        <w:t xml:space="preserve"> та ,</w:t>
      </w:r>
    </w:p>
    <w:p>
      <w:pPr>
        <w:tabs>
          <w:tab w:val="left" w:pos="2967"/>
        </w:tabs>
        <w:spacing w:line="181" w:lineRule="auto"/>
        <w:ind w:left="7"/>
        <w:rPr>
          <w:rFonts w:ascii="Times New Roman" w:hAnsi="Times New Roman" w:eastAsia="Times New Roman"/>
          <w:sz w:val="6"/>
        </w:rPr>
      </w:pPr>
      <w:r>
        <w:rPr>
          <w:rFonts w:ascii="Times New Roman" w:hAnsi="Times New Roman" w:eastAsia="Times New Roman"/>
        </w:rPr>
        <w:t>малим впливом виду залежності</w:t>
      </w:r>
      <w:r>
        <w:rPr>
          <w:rFonts w:ascii="Times New Roman" w:hAnsi="Times New Roman" w:eastAsia="Times New Roman"/>
        </w:rPr>
        <w:tab/>
      </w:r>
      <w:r>
        <w:rPr>
          <w:rFonts w:ascii="Times New Roman" w:hAnsi="Times New Roman" w:eastAsia="Times New Roman"/>
          <w:i/>
          <w:sz w:val="7"/>
          <w:vertAlign w:val="subscript"/>
        </w:rPr>
        <w:t>ТЕ</w:t>
      </w:r>
      <w:r>
        <w:rPr>
          <w:rFonts w:ascii="Cambria Math" w:hAnsi="Cambria Math" w:eastAsia="Cambria Math"/>
          <w:sz w:val="6"/>
        </w:rPr>
        <w:t>( )</w:t>
      </w:r>
      <w:r>
        <w:rPr>
          <w:rFonts w:ascii="Times New Roman" w:hAnsi="Times New Roman" w:eastAsia="Times New Roman"/>
          <w:i/>
          <w:sz w:val="7"/>
        </w:rPr>
        <w:t xml:space="preserve"> </w:t>
      </w:r>
      <w:r>
        <w:rPr>
          <w:rFonts w:ascii="Times New Roman" w:hAnsi="Times New Roman" w:eastAsia="Times New Roman"/>
          <w:sz w:val="6"/>
        </w:rPr>
        <w:t>на стабільність</w:t>
      </w:r>
      <w:r>
        <w:rPr>
          <w:rFonts w:ascii="Times New Roman" w:hAnsi="Times New Roman" w:eastAsia="Times New Roman"/>
          <w:i/>
          <w:sz w:val="7"/>
        </w:rPr>
        <w:t xml:space="preserve">  </w:t>
      </w:r>
      <w:r>
        <w:rPr>
          <w:rFonts w:ascii="Times New Roman" w:hAnsi="Times New Roman" w:eastAsia="Times New Roman"/>
          <w:i/>
          <w:sz w:val="7"/>
          <w:vertAlign w:val="subscript"/>
        </w:rPr>
        <w:t>пер</w:t>
      </w:r>
      <w:r>
        <w:rPr>
          <w:rFonts w:ascii="Times New Roman" w:hAnsi="Times New Roman" w:eastAsia="Times New Roman"/>
          <w:sz w:val="6"/>
        </w:rPr>
        <w:t>. До недоліків належать велика кількість ТЕ (не ме-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7" w:right="20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нше двох на загальмованих ТМ і не менше трьох для автоколивних), необхідність застосування ПП з малим порогом спрацьовування.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181" w:lineRule="auto"/>
        <w:ind w:left="7" w:right="20" w:firstLine="284"/>
        <w:jc w:val="both"/>
        <w:rPr>
          <w:rFonts w:ascii="Times New Roman" w:hAnsi="Times New Roman" w:eastAsia="Times New Roman"/>
          <w:sz w:val="11"/>
        </w:rPr>
      </w:pPr>
      <w:r>
        <w:rPr>
          <w:rFonts w:ascii="Times New Roman" w:hAnsi="Times New Roman" w:eastAsia="Times New Roman"/>
          <w:sz w:val="11"/>
        </w:rPr>
        <w:t xml:space="preserve">За своїми характеристиками найбільш вдалими для застосування у обраному пристрої є терморезистори з експоненційною залежністю </w:t>
      </w:r>
      <w:r>
        <w:rPr>
          <w:rFonts w:ascii="Times New Roman" w:hAnsi="Times New Roman" w:eastAsia="Times New Roman"/>
          <w:i/>
          <w:sz w:val="14"/>
          <w:vertAlign w:val="subscript"/>
        </w:rPr>
        <w:t>ТЕ</w:t>
      </w:r>
      <w:r>
        <w:rPr>
          <w:rFonts w:ascii="Cambria Math" w:hAnsi="Cambria Math" w:eastAsia="Cambria Math"/>
          <w:sz w:val="11"/>
        </w:rPr>
        <w:t>( )</w:t>
      </w:r>
      <w:r>
        <w:rPr>
          <w:rFonts w:ascii="Times New Roman" w:hAnsi="Times New Roman" w:eastAsia="Times New Roman"/>
          <w:sz w:val="11"/>
        </w:rPr>
        <w:t>.</w:t>
      </w:r>
    </w:p>
    <w:p>
      <w:pPr>
        <w:spacing w:line="190" w:lineRule="auto"/>
        <w:ind w:left="7" w:firstLine="284"/>
        <w:jc w:val="both"/>
        <w:rPr>
          <w:rFonts w:ascii="Times New Roman" w:hAnsi="Times New Roman" w:eastAsia="Times New Roman"/>
          <w:sz w:val="11"/>
        </w:rPr>
      </w:pPr>
      <w:r>
        <w:rPr>
          <w:rFonts w:ascii="Times New Roman" w:hAnsi="Times New Roman" w:eastAsia="Times New Roman"/>
          <w:sz w:val="11"/>
        </w:rPr>
        <w:t xml:space="preserve">Варіант побудови електричної принципо-вої схема такого генератора представлений на рис. 2. Якщо обрати мостовий симетричний ТМ з постійною опірною потужністю при </w:t>
      </w:r>
      <w:r>
        <w:rPr>
          <w:rFonts w:ascii="Cambria Math" w:hAnsi="Cambria Math" w:eastAsia="Cambria Math"/>
          <w:sz w:val="11"/>
        </w:rPr>
        <w:t>=</w:t>
      </w:r>
      <w:r>
        <w:rPr>
          <w:rFonts w:ascii="Times New Roman" w:hAnsi="Times New Roman" w:eastAsia="Times New Roman"/>
          <w:sz w:val="11"/>
        </w:rPr>
        <w:t xml:space="preserve"> </w:t>
      </w:r>
      <w:r>
        <w:rPr>
          <w:rFonts w:ascii="Cambria Math" w:hAnsi="Cambria Math" w:eastAsia="Cambria Math"/>
          <w:sz w:val="13"/>
          <w:vertAlign w:val="subscript"/>
        </w:rPr>
        <w:t>2</w:t>
      </w:r>
      <w:r>
        <w:rPr>
          <w:rFonts w:ascii="Cambria Math" w:hAnsi="Cambria Math" w:eastAsia="Cambria Math"/>
          <w:sz w:val="13"/>
          <w:vertAlign w:val="superscript"/>
        </w:rPr>
        <w:t>∗</w:t>
      </w:r>
      <w:r>
        <w:rPr>
          <w:rFonts w:ascii="Times New Roman" w:hAnsi="Times New Roman" w:eastAsia="Times New Roman"/>
          <w:sz w:val="11"/>
        </w:rPr>
        <w:t xml:space="preserve"> </w:t>
      </w:r>
      <w:r>
        <w:rPr>
          <w:rFonts w:ascii="Cambria Math" w:hAnsi="Cambria Math" w:eastAsia="Cambria Math"/>
          <w:sz w:val="11"/>
        </w:rPr>
        <w:t>= 0</w:t>
      </w:r>
      <w:r>
        <w:rPr>
          <w:rFonts w:ascii="Times New Roman" w:hAnsi="Times New Roman" w:eastAsia="Times New Roman"/>
          <w:sz w:val="11"/>
        </w:rPr>
        <w:t>, то основні розрахункові співвідношення будуть наступними:</w:t>
      </w:r>
    </w:p>
    <w:tbl>
      <w:tblPr>
        <w:tblStyle w:val="3"/>
        <w:tblW w:w="9620" w:type="dxa"/>
        <w:tblInd w:w="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0"/>
        <w:gridCol w:w="500"/>
        <w:gridCol w:w="180"/>
        <w:gridCol w:w="380"/>
        <w:gridCol w:w="60"/>
        <w:gridCol w:w="120"/>
        <w:gridCol w:w="20"/>
        <w:gridCol w:w="220"/>
        <w:gridCol w:w="160"/>
        <w:gridCol w:w="220"/>
        <w:gridCol w:w="520"/>
        <w:gridCol w:w="180"/>
        <w:gridCol w:w="220"/>
        <w:gridCol w:w="580"/>
        <w:gridCol w:w="3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3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>
            <w:pPr>
              <w:spacing w:line="208" w:lineRule="exact"/>
              <w:ind w:right="1"/>
              <w:jc w:val="center"/>
              <w:rPr>
                <w:rFonts w:ascii="Cambria Math" w:hAnsi="Cambria Math" w:eastAsia="Cambria Math"/>
                <w:sz w:val="4"/>
                <w:vertAlign w:val="superscript"/>
              </w:rPr>
            </w:pPr>
            <w:r>
              <w:rPr>
                <w:rFonts w:ascii="Cambria Math" w:hAnsi="Cambria Math" w:eastAsia="Cambria Math"/>
                <w:sz w:val="4"/>
                <w:vertAlign w:val="superscript"/>
              </w:rPr>
              <w:t>∗</w:t>
            </w:r>
          </w:p>
        </w:tc>
        <w:tc>
          <w:tcPr>
            <w:tcW w:w="1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208" w:lineRule="exact"/>
              <w:jc w:val="center"/>
              <w:rPr>
                <w:rFonts w:ascii="Cambria Math" w:hAnsi="Cambria Math" w:eastAsia="Cambria Math"/>
                <w:sz w:val="4"/>
                <w:vertAlign w:val="superscript"/>
              </w:rPr>
            </w:pPr>
            <w:r>
              <w:rPr>
                <w:rFonts w:ascii="Cambria Math" w:hAnsi="Cambria Math" w:eastAsia="Cambria Math"/>
                <w:sz w:val="4"/>
                <w:vertAlign w:val="superscript"/>
              </w:rPr>
              <w:t>∗</w:t>
            </w:r>
          </w:p>
        </w:tc>
        <w:tc>
          <w:tcPr>
            <w:tcW w:w="30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3240" w:type="dxa"/>
            <w:vMerge w:val="restar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500" w:type="dxa"/>
            <w:vMerge w:val="restart"/>
            <w:shd w:val="clear" w:color="auto" w:fill="auto"/>
            <w:vAlign w:val="bottom"/>
          </w:tcPr>
          <w:p>
            <w:pPr>
              <w:spacing w:line="154" w:lineRule="exact"/>
              <w:ind w:left="40"/>
              <w:rPr>
                <w:rFonts w:ascii="Cambria Math" w:hAnsi="Cambria Math" w:eastAsia="Cambria Math"/>
                <w:sz w:val="3"/>
              </w:rPr>
            </w:pPr>
            <w:r>
              <w:rPr>
                <w:rFonts w:ascii="Cambria Math" w:hAnsi="Cambria Math" w:eastAsia="Cambria Math"/>
                <w:sz w:val="3"/>
              </w:rPr>
              <w:t>=</w:t>
            </w:r>
          </w:p>
        </w:tc>
        <w:tc>
          <w:tcPr>
            <w:tcW w:w="560" w:type="dxa"/>
            <w:gridSpan w:val="2"/>
            <w:vMerge w:val="restart"/>
            <w:shd w:val="clear" w:color="auto" w:fill="auto"/>
            <w:vAlign w:val="bottom"/>
          </w:tcPr>
          <w:p>
            <w:pPr>
              <w:spacing w:line="154" w:lineRule="exact"/>
              <w:ind w:left="40"/>
              <w:rPr>
                <w:rFonts w:ascii="Cambria Math" w:hAnsi="Cambria Math" w:eastAsia="Cambria Math"/>
                <w:sz w:val="3"/>
              </w:rPr>
            </w:pPr>
            <w:r>
              <w:rPr>
                <w:rFonts w:ascii="Cambria Math" w:hAnsi="Cambria Math" w:eastAsia="Cambria Math"/>
                <w:sz w:val="3"/>
              </w:rPr>
              <w:t>=  ln</w:t>
            </w: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1"/>
              <w:jc w:val="right"/>
              <w:rPr>
                <w:rFonts w:ascii="Cambria Math" w:hAnsi="Cambria Math" w:eastAsia="Cambria Math"/>
                <w:sz w:val="1"/>
              </w:rPr>
            </w:pPr>
            <w:r>
              <w:rPr>
                <w:rFonts w:ascii="Cambria Math" w:hAnsi="Cambria Math" w:eastAsia="Cambria Math"/>
                <w:sz w:val="1"/>
              </w:rPr>
              <w:t>2</w:t>
            </w:r>
          </w:p>
        </w:tc>
        <w:tc>
          <w:tcPr>
            <w:tcW w:w="1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140" w:type="dxa"/>
            <w:gridSpan w:val="4"/>
            <w:vMerge w:val="restart"/>
            <w:shd w:val="clear" w:color="auto" w:fill="auto"/>
            <w:vAlign w:val="bottom"/>
          </w:tcPr>
          <w:p>
            <w:pPr>
              <w:spacing w:line="154" w:lineRule="exact"/>
              <w:ind w:left="40"/>
              <w:rPr>
                <w:rFonts w:ascii="Cambria Math" w:hAnsi="Cambria Math" w:eastAsia="Cambria Math"/>
                <w:sz w:val="3"/>
              </w:rPr>
            </w:pPr>
            <w:r>
              <w:rPr>
                <w:rFonts w:ascii="Cambria Math" w:hAnsi="Cambria Math" w:eastAsia="Cambria Math"/>
                <w:sz w:val="3"/>
              </w:rPr>
              <w:t>;    = 2   ln</w:t>
            </w: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185"/>
              <w:jc w:val="right"/>
              <w:rPr>
                <w:rFonts w:ascii="Cambria Math" w:hAnsi="Cambria Math" w:eastAsia="Cambria Math"/>
                <w:sz w:val="1"/>
              </w:rPr>
            </w:pPr>
            <w:r>
              <w:rPr>
                <w:rFonts w:ascii="Cambria Math" w:hAnsi="Cambria Math" w:eastAsia="Cambria Math"/>
                <w:sz w:val="1"/>
              </w:rPr>
              <w:t>2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</w:tcPr>
          <w:p>
            <w:pPr>
              <w:spacing w:line="154" w:lineRule="exact"/>
              <w:ind w:right="2963"/>
              <w:jc w:val="right"/>
              <w:rPr>
                <w:rFonts w:ascii="Cambria Math" w:hAnsi="Cambria Math" w:eastAsia="Cambria Math"/>
                <w:sz w:val="3"/>
              </w:rPr>
            </w:pPr>
            <w:r>
              <w:rPr>
                <w:rFonts w:ascii="Cambria Math" w:hAnsi="Cambria Math" w:eastAsia="Cambria Math"/>
                <w:sz w:val="3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 w:hRule="atLeast"/>
        </w:trPr>
        <w:tc>
          <w:tcPr>
            <w:tcW w:w="324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560" w:type="dxa"/>
            <w:gridSpan w:val="2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580" w:type="dxa"/>
            <w:gridSpan w:val="5"/>
            <w:vMerge w:val="restart"/>
            <w:shd w:val="clear" w:color="auto" w:fill="auto"/>
            <w:vAlign w:val="bottom"/>
          </w:tcPr>
          <w:p>
            <w:pPr>
              <w:spacing w:line="177" w:lineRule="exact"/>
              <w:jc w:val="center"/>
              <w:rPr>
                <w:rFonts w:ascii="Cambria Math" w:hAnsi="Cambria Math" w:eastAsia="Cambria Math"/>
                <w:sz w:val="4"/>
                <w:vertAlign w:val="superscript"/>
              </w:rPr>
            </w:pPr>
            <w:r>
              <w:rPr>
                <w:rFonts w:ascii="Cambria Math" w:hAnsi="Cambria Math" w:eastAsia="Cambria Math"/>
                <w:sz w:val="3"/>
              </w:rPr>
              <w:t xml:space="preserve">−  </w:t>
            </w:r>
            <w:r>
              <w:rPr>
                <w:rFonts w:ascii="Cambria Math" w:hAnsi="Cambria Math" w:eastAsia="Cambria Math"/>
                <w:sz w:val="4"/>
                <w:vertAlign w:val="superscript"/>
              </w:rPr>
              <w:t>∗</w:t>
            </w:r>
          </w:p>
        </w:tc>
        <w:tc>
          <w:tcPr>
            <w:tcW w:w="1140" w:type="dxa"/>
            <w:gridSpan w:val="4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>
            <w:pPr>
              <w:spacing w:line="177" w:lineRule="exact"/>
              <w:jc w:val="center"/>
              <w:rPr>
                <w:rFonts w:ascii="Cambria Math" w:hAnsi="Cambria Math" w:eastAsia="Cambria Math"/>
                <w:sz w:val="4"/>
                <w:vertAlign w:val="superscript"/>
              </w:rPr>
            </w:pPr>
            <w:r>
              <w:rPr>
                <w:rFonts w:ascii="Cambria Math" w:hAnsi="Cambria Math" w:eastAsia="Cambria Math"/>
                <w:sz w:val="3"/>
              </w:rPr>
              <w:t xml:space="preserve">−  </w:t>
            </w:r>
            <w:r>
              <w:rPr>
                <w:rFonts w:ascii="Cambria Math" w:hAnsi="Cambria Math" w:eastAsia="Cambria Math"/>
                <w:sz w:val="4"/>
                <w:vertAlign w:val="superscript"/>
              </w:rPr>
              <w:t>∗</w:t>
            </w:r>
          </w:p>
        </w:tc>
        <w:tc>
          <w:tcPr>
            <w:tcW w:w="302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3240" w:type="dxa"/>
            <w:shd w:val="clear" w:color="auto" w:fill="auto"/>
            <w:vAlign w:val="bottom"/>
          </w:tcPr>
          <w:p>
            <w:pPr>
              <w:spacing w:line="134" w:lineRule="exact"/>
              <w:ind w:left="3060"/>
              <w:rPr>
                <w:rFonts w:ascii="Cambria Math" w:hAnsi="Cambria Math" w:eastAsia="Cambria Math"/>
                <w:sz w:val="3"/>
              </w:rPr>
            </w:pPr>
            <w:r>
              <w:rPr>
                <w:rFonts w:ascii="Times New Roman" w:hAnsi="Times New Roman" w:eastAsia="Times New Roman"/>
                <w:i/>
                <w:sz w:val="3"/>
              </w:rPr>
              <w:t>и</w:t>
            </w:r>
            <w:r>
              <w:rPr>
                <w:rFonts w:ascii="Cambria Math" w:hAnsi="Cambria Math" w:eastAsia="Cambria Math"/>
                <w:sz w:val="3"/>
              </w:rPr>
              <w:t>1</w:t>
            </w: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134" w:lineRule="exact"/>
              <w:ind w:left="320"/>
              <w:rPr>
                <w:rFonts w:ascii="Cambria Math" w:hAnsi="Cambria Math" w:eastAsia="Cambria Math"/>
                <w:sz w:val="3"/>
              </w:rPr>
            </w:pPr>
            <w:r>
              <w:rPr>
                <w:rFonts w:ascii="Times New Roman" w:hAnsi="Times New Roman" w:eastAsia="Times New Roman"/>
                <w:i/>
                <w:sz w:val="3"/>
              </w:rPr>
              <w:t>и</w:t>
            </w:r>
            <w:r>
              <w:rPr>
                <w:rFonts w:ascii="Cambria Math" w:hAnsi="Cambria Math" w:eastAsia="Cambria Math"/>
                <w:sz w:val="3"/>
              </w:rPr>
              <w:t>2</w:t>
            </w: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580" w:type="dxa"/>
            <w:gridSpan w:val="5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135" w:lineRule="exact"/>
              <w:ind w:left="20"/>
              <w:rPr>
                <w:rFonts w:ascii="Times New Roman" w:hAnsi="Times New Roman" w:eastAsia="Times New Roman"/>
                <w:i/>
                <w:sz w:val="14"/>
              </w:rPr>
            </w:pPr>
            <w:r>
              <w:rPr>
                <w:rFonts w:ascii="Times New Roman" w:hAnsi="Times New Roman" w:eastAsia="Times New Roman"/>
                <w:i/>
                <w:sz w:val="14"/>
              </w:rPr>
              <w:t>пер</w:t>
            </w: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58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3740" w:type="dxa"/>
            <w:gridSpan w:val="2"/>
            <w:vMerge w:val="restart"/>
            <w:shd w:val="clear" w:color="auto" w:fill="auto"/>
            <w:vAlign w:val="bottom"/>
          </w:tcPr>
          <w:p>
            <w:pPr>
              <w:spacing w:line="266" w:lineRule="exact"/>
              <w:ind w:left="280"/>
              <w:rPr>
                <w:rFonts w:ascii="Cambria Math" w:hAnsi="Cambria Math" w:eastAsia="Cambria Math"/>
                <w:sz w:val="4"/>
              </w:rPr>
            </w:pPr>
            <w:r>
              <w:rPr>
                <w:rFonts w:ascii="Times New Roman" w:hAnsi="Times New Roman" w:eastAsia="Times New Roman"/>
                <w:sz w:val="4"/>
              </w:rPr>
              <w:t xml:space="preserve">З умовою реалізації: </w:t>
            </w:r>
            <w:r>
              <w:rPr>
                <w:rFonts w:ascii="Cambria Math" w:hAnsi="Cambria Math" w:eastAsia="Cambria Math"/>
                <w:sz w:val="4"/>
              </w:rPr>
              <w:t xml:space="preserve">2  </w:t>
            </w:r>
            <w:r>
              <w:rPr>
                <w:rFonts w:ascii="Cambria Math" w:hAnsi="Cambria Math" w:eastAsia="Cambria Math"/>
                <w:sz w:val="6"/>
                <w:vertAlign w:val="subscript"/>
              </w:rPr>
              <w:t>2</w:t>
            </w:r>
            <w:r>
              <w:rPr>
                <w:rFonts w:ascii="Cambria Math" w:hAnsi="Cambria Math" w:eastAsia="Cambria Math"/>
                <w:sz w:val="6"/>
                <w:vertAlign w:val="superscript"/>
              </w:rPr>
              <w:t>∗</w:t>
            </w:r>
            <w:r>
              <w:rPr>
                <w:rFonts w:ascii="Times New Roman" w:hAnsi="Times New Roman" w:eastAsia="Times New Roman"/>
                <w:sz w:val="4"/>
              </w:rPr>
              <w:t xml:space="preserve"> </w:t>
            </w:r>
            <w:r>
              <w:rPr>
                <w:rFonts w:ascii="Cambria Math" w:hAnsi="Cambria Math" w:eastAsia="Cambria Math"/>
                <w:sz w:val="4"/>
              </w:rPr>
              <w:t>&gt;  &gt;</w:t>
            </w:r>
            <w:r>
              <w:rPr>
                <w:rFonts w:ascii="Times New Roman" w:hAnsi="Times New Roman" w:eastAsia="Times New Roman"/>
                <w:sz w:val="4"/>
              </w:rPr>
              <w:t xml:space="preserve">  </w:t>
            </w:r>
            <w:r>
              <w:rPr>
                <w:rFonts w:ascii="Cambria Math" w:hAnsi="Cambria Math" w:eastAsia="Cambria Math"/>
                <w:sz w:val="6"/>
                <w:vertAlign w:val="subscript"/>
              </w:rPr>
              <w:t>2</w:t>
            </w:r>
            <w:r>
              <w:rPr>
                <w:rFonts w:ascii="Cambria Math" w:hAnsi="Cambria Math" w:eastAsia="Cambria Math"/>
                <w:sz w:val="6"/>
                <w:vertAlign w:val="superscript"/>
              </w:rPr>
              <w:t>∗</w:t>
            </w:r>
            <w:r>
              <w:rPr>
                <w:rFonts w:ascii="Cambria Math" w:hAnsi="Cambria Math" w:eastAsia="Cambria Math"/>
                <w:sz w:val="4"/>
              </w:rPr>
              <w:t>.</w:t>
            </w: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>
            <w:pPr>
              <w:spacing w:line="162" w:lineRule="exact"/>
              <w:jc w:val="center"/>
              <w:rPr>
                <w:rFonts w:ascii="Cambria Math" w:hAnsi="Cambria Math" w:eastAsia="Cambria Math"/>
                <w:sz w:val="3"/>
              </w:rPr>
            </w:pPr>
            <w:r>
              <w:rPr>
                <w:rFonts w:ascii="Cambria Math" w:hAnsi="Cambria Math" w:eastAsia="Cambria Math"/>
                <w:sz w:val="3"/>
              </w:rPr>
              <w:t>2</w:t>
            </w: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162" w:lineRule="exact"/>
              <w:ind w:right="25"/>
              <w:jc w:val="right"/>
              <w:rPr>
                <w:rFonts w:ascii="Cambria Math" w:hAnsi="Cambria Math" w:eastAsia="Cambria Math"/>
                <w:sz w:val="3"/>
              </w:rPr>
            </w:pPr>
            <w:r>
              <w:rPr>
                <w:rFonts w:ascii="Cambria Math" w:hAnsi="Cambria Math" w:eastAsia="Cambria Math"/>
                <w:sz w:val="3"/>
              </w:rPr>
              <w:t>2</w:t>
            </w:r>
          </w:p>
        </w:tc>
        <w:tc>
          <w:tcPr>
            <w:tcW w:w="30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03" w:hRule="atLeast"/>
        </w:trPr>
        <w:tc>
          <w:tcPr>
            <w:tcW w:w="3740" w:type="dxa"/>
            <w:gridSpan w:val="2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9620" w:type="dxa"/>
            <w:gridSpan w:val="15"/>
            <w:shd w:val="clear" w:color="auto" w:fill="auto"/>
            <w:vAlign w:val="bottom"/>
          </w:tcPr>
          <w:p>
            <w:pPr>
              <w:spacing w:line="0" w:lineRule="atLeast"/>
              <w:ind w:left="28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Як свідчить аналіз наведених формул для одержання великих значень періоду необхідно зменшувати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240" w:type="dxa"/>
            <w:shd w:val="clear" w:color="auto" w:fill="auto"/>
            <w:vAlign w:val="bottom"/>
          </w:tcPr>
          <w:p>
            <w:pPr>
              <w:spacing w:line="234" w:lineRule="exact"/>
              <w:rPr>
                <w:rFonts w:ascii="Times New Roman" w:hAnsi="Times New Roman" w:eastAsia="Times New Roman"/>
                <w:sz w:val="4"/>
              </w:rPr>
            </w:pPr>
            <w:r>
              <w:rPr>
                <w:rFonts w:ascii="Times New Roman" w:hAnsi="Times New Roman" w:eastAsia="Times New Roman"/>
                <w:sz w:val="4"/>
              </w:rPr>
              <w:t xml:space="preserve">різницю </w:t>
            </w:r>
            <w:r>
              <w:rPr>
                <w:rFonts w:ascii="Cambria Math" w:hAnsi="Cambria Math" w:eastAsia="Cambria Math"/>
                <w:sz w:val="4"/>
              </w:rPr>
              <w:t>(   −</w:t>
            </w:r>
            <w:r>
              <w:rPr>
                <w:rFonts w:ascii="Times New Roman" w:hAnsi="Times New Roman" w:eastAsia="Times New Roman"/>
                <w:sz w:val="4"/>
              </w:rPr>
              <w:t xml:space="preserve"> </w:t>
            </w:r>
            <w:r>
              <w:rPr>
                <w:rFonts w:ascii="Cambria Math" w:hAnsi="Cambria Math" w:eastAsia="Cambria Math"/>
                <w:sz w:val="5"/>
                <w:vertAlign w:val="subscript"/>
              </w:rPr>
              <w:t>2</w:t>
            </w:r>
            <w:r>
              <w:rPr>
                <w:rFonts w:ascii="Cambria Math" w:hAnsi="Cambria Math" w:eastAsia="Cambria Math"/>
                <w:sz w:val="5"/>
                <w:vertAlign w:val="superscript"/>
              </w:rPr>
              <w:t>∗</w:t>
            </w:r>
            <w:r>
              <w:rPr>
                <w:rFonts w:ascii="Cambria Math" w:hAnsi="Cambria Math" w:eastAsia="Cambria Math"/>
                <w:sz w:val="4"/>
              </w:rPr>
              <w:t>)</w:t>
            </w:r>
            <w:r>
              <w:rPr>
                <w:rFonts w:ascii="Times New Roman" w:hAnsi="Times New Roman" w:eastAsia="Times New Roman"/>
                <w:sz w:val="4"/>
              </w:rPr>
              <w:t>.</w:t>
            </w: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4720" w:type="dxa"/>
            <w:gridSpan w:val="8"/>
            <w:shd w:val="clear" w:color="auto" w:fill="auto"/>
            <w:vAlign w:val="bottom"/>
          </w:tcPr>
          <w:p>
            <w:pPr>
              <w:spacing w:line="0" w:lineRule="atLeast"/>
              <w:ind w:left="28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Нестабільність (відносна зміна періоду коливань):</w:t>
            </w:r>
          </w:p>
        </w:tc>
        <w:tc>
          <w:tcPr>
            <w:tcW w:w="1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2280" w:type="dxa"/>
            <w:gridSpan w:val="11"/>
            <w:shd w:val="clear" w:color="auto" w:fill="auto"/>
            <w:vAlign w:val="bottom"/>
          </w:tcPr>
          <w:p>
            <w:pPr>
              <w:spacing w:line="253" w:lineRule="exact"/>
              <w:ind w:right="140"/>
              <w:jc w:val="center"/>
              <w:rPr>
                <w:rFonts w:ascii="Cambria Math" w:hAnsi="Cambria Math" w:eastAsia="Cambria Math"/>
                <w:sz w:val="6"/>
                <w:vertAlign w:val="subscript"/>
              </w:rPr>
            </w:pPr>
            <w:r>
              <w:rPr>
                <w:rFonts w:ascii="Cambria Math" w:hAnsi="Cambria Math" w:eastAsia="Cambria Math"/>
                <w:sz w:val="6"/>
                <w:vertAlign w:val="subscript"/>
              </w:rPr>
              <w:t>=</w:t>
            </w:r>
            <w:r>
              <w:rPr>
                <w:rFonts w:ascii="Times New Roman" w:hAnsi="Times New Roman" w:eastAsia="Times New Roman"/>
                <w:i/>
                <w:sz w:val="2"/>
              </w:rPr>
              <w:t xml:space="preserve"> пер</w:t>
            </w:r>
            <w:r>
              <w:rPr>
                <w:rFonts w:ascii="Cambria Math" w:hAnsi="Cambria Math" w:eastAsia="Cambria Math"/>
                <w:sz w:val="6"/>
                <w:vertAlign w:val="superscript"/>
              </w:rPr>
              <w:t>( ) −</w:t>
            </w:r>
            <w:r>
              <w:rPr>
                <w:rFonts w:ascii="Times New Roman" w:hAnsi="Times New Roman" w:eastAsia="Times New Roman"/>
                <w:i/>
                <w:sz w:val="2"/>
              </w:rPr>
              <w:t xml:space="preserve"> пер</w:t>
            </w:r>
            <w:r>
              <w:rPr>
                <w:rFonts w:ascii="Cambria Math" w:hAnsi="Cambria Math" w:eastAsia="Cambria Math"/>
                <w:sz w:val="6"/>
                <w:vertAlign w:val="superscript"/>
              </w:rPr>
              <w:t xml:space="preserve">( </w:t>
            </w:r>
            <w:r>
              <w:rPr>
                <w:rFonts w:ascii="Times New Roman" w:hAnsi="Times New Roman" w:eastAsia="Times New Roman"/>
                <w:i/>
                <w:sz w:val="2"/>
              </w:rPr>
              <w:t>о</w:t>
            </w:r>
            <w:r>
              <w:rPr>
                <w:rFonts w:ascii="Cambria Math" w:hAnsi="Cambria Math" w:eastAsia="Cambria Math"/>
                <w:sz w:val="6"/>
                <w:vertAlign w:val="superscript"/>
              </w:rPr>
              <w:t>)</w:t>
            </w:r>
            <w:r>
              <w:rPr>
                <w:rFonts w:ascii="Cambria Math" w:hAnsi="Cambria Math" w:eastAsia="Cambria Math"/>
                <w:sz w:val="6"/>
                <w:vertAlign w:val="subscript"/>
              </w:rPr>
              <w:t>,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 w:hRule="atLeast"/>
        </w:trPr>
        <w:tc>
          <w:tcPr>
            <w:tcW w:w="3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560" w:type="dxa"/>
            <w:gridSpan w:val="2"/>
            <w:vMerge w:val="restart"/>
            <w:shd w:val="clear" w:color="auto" w:fill="auto"/>
            <w:vAlign w:val="bottom"/>
          </w:tcPr>
          <w:p>
            <w:pPr>
              <w:spacing w:line="0" w:lineRule="atLeast"/>
              <w:ind w:left="160"/>
              <w:rPr>
                <w:rFonts w:ascii="Times New Roman" w:hAnsi="Times New Roman" w:eastAsia="Times New Roman"/>
                <w:i/>
                <w:sz w:val="14"/>
              </w:rPr>
            </w:pPr>
            <w:r>
              <w:rPr>
                <w:rFonts w:ascii="Times New Roman" w:hAnsi="Times New Roman" w:eastAsia="Times New Roman"/>
                <w:i/>
                <w:sz w:val="14"/>
              </w:rPr>
              <w:t>пер</w:t>
            </w: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25" w:hRule="atLeast"/>
        </w:trPr>
        <w:tc>
          <w:tcPr>
            <w:tcW w:w="3240" w:type="dxa"/>
            <w:vMerge w:val="restar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де</w:t>
            </w: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560" w:type="dxa"/>
            <w:gridSpan w:val="2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bottom"/>
          </w:tcPr>
          <w:p>
            <w:pPr>
              <w:spacing w:line="390" w:lineRule="exact"/>
              <w:ind w:right="191"/>
              <w:jc w:val="right"/>
              <w:rPr>
                <w:rFonts w:ascii="Cambria Math" w:hAnsi="Cambria Math" w:eastAsia="Cambria Math"/>
                <w:sz w:val="8"/>
              </w:rPr>
            </w:pPr>
            <w:r>
              <w:rPr>
                <w:rFonts w:ascii="Times New Roman" w:hAnsi="Times New Roman" w:eastAsia="Times New Roman"/>
                <w:i/>
                <w:sz w:val="9"/>
                <w:vertAlign w:val="subscript"/>
              </w:rPr>
              <w:t>пер</w:t>
            </w:r>
            <w:r>
              <w:rPr>
                <w:rFonts w:ascii="Cambria Math" w:hAnsi="Cambria Math" w:eastAsia="Cambria Math"/>
                <w:sz w:val="8"/>
              </w:rPr>
              <w:t xml:space="preserve">( </w:t>
            </w:r>
            <w:r>
              <w:rPr>
                <w:rFonts w:ascii="Times New Roman" w:hAnsi="Times New Roman" w:eastAsia="Times New Roman"/>
                <w:i/>
                <w:sz w:val="9"/>
                <w:vertAlign w:val="subscript"/>
              </w:rPr>
              <w:t>о</w:t>
            </w:r>
            <w:r>
              <w:rPr>
                <w:rFonts w:ascii="Cambria Math" w:hAnsi="Cambria Math" w:eastAsia="Cambria Math"/>
                <w:sz w:val="8"/>
              </w:rPr>
              <w:t>)</w:t>
            </w: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24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900" w:type="dxa"/>
            <w:gridSpan w:val="3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324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560" w:type="dxa"/>
            <w:gridSpan w:val="3"/>
            <w:vMerge w:val="restart"/>
            <w:shd w:val="clear" w:color="auto" w:fill="auto"/>
            <w:vAlign w:val="bottom"/>
          </w:tcPr>
          <w:p>
            <w:pPr>
              <w:spacing w:line="343" w:lineRule="exact"/>
              <w:jc w:val="center"/>
              <w:rPr>
                <w:rFonts w:ascii="Cambria Math" w:hAnsi="Cambria Math" w:eastAsia="Cambria Math"/>
                <w:sz w:val="7"/>
              </w:rPr>
            </w:pPr>
            <w:r>
              <w:rPr>
                <w:rFonts w:ascii="Times New Roman" w:hAnsi="Times New Roman" w:eastAsia="Times New Roman"/>
                <w:i/>
                <w:sz w:val="8"/>
                <w:vertAlign w:val="subscript"/>
              </w:rPr>
              <w:t>пер</w:t>
            </w:r>
            <w:r>
              <w:rPr>
                <w:rFonts w:ascii="Cambria Math" w:hAnsi="Cambria Math" w:eastAsia="Cambria Math"/>
                <w:sz w:val="7"/>
              </w:rPr>
              <w:t>( )</w:t>
            </w:r>
          </w:p>
        </w:tc>
        <w:tc>
          <w:tcPr>
            <w:tcW w:w="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520" w:type="dxa"/>
            <w:vMerge w:val="restart"/>
            <w:shd w:val="clear" w:color="auto" w:fill="auto"/>
            <w:vAlign w:val="bottom"/>
          </w:tcPr>
          <w:p>
            <w:pPr>
              <w:spacing w:line="162" w:lineRule="exact"/>
              <w:ind w:left="160"/>
              <w:rPr>
                <w:rFonts w:ascii="Cambria Math" w:hAnsi="Cambria Math" w:eastAsia="Cambria Math"/>
                <w:sz w:val="3"/>
              </w:rPr>
            </w:pPr>
            <w:r>
              <w:rPr>
                <w:rFonts w:ascii="Cambria Math" w:hAnsi="Cambria Math" w:eastAsia="Cambria Math"/>
                <w:sz w:val="3"/>
              </w:rPr>
              <w:t>1</w:t>
            </w: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560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600" w:type="dxa"/>
            <w:gridSpan w:val="3"/>
            <w:vMerge w:val="restart"/>
            <w:shd w:val="clear" w:color="auto" w:fill="auto"/>
            <w:vAlign w:val="bottom"/>
          </w:tcPr>
          <w:p>
            <w:pPr>
              <w:spacing w:line="371" w:lineRule="exact"/>
              <w:jc w:val="center"/>
              <w:rPr>
                <w:rFonts w:ascii="Cambria Math" w:hAnsi="Cambria Math" w:eastAsia="Cambria Math"/>
                <w:sz w:val="8"/>
              </w:rPr>
            </w:pPr>
            <w:r>
              <w:rPr>
                <w:rFonts w:ascii="Cambria Math" w:hAnsi="Cambria Math" w:eastAsia="Cambria Math"/>
                <w:sz w:val="8"/>
              </w:rPr>
              <w:t>= 2 ln</w:t>
            </w:r>
          </w:p>
        </w:tc>
        <w:tc>
          <w:tcPr>
            <w:tcW w:w="52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>
            <w:pPr>
              <w:spacing w:line="371" w:lineRule="exact"/>
              <w:ind w:right="101"/>
              <w:jc w:val="right"/>
              <w:rPr>
                <w:rFonts w:ascii="Cambria Math" w:hAnsi="Cambria Math" w:eastAsia="Cambria Math"/>
                <w:sz w:val="8"/>
              </w:rPr>
            </w:pPr>
            <w:r>
              <w:rPr>
                <w:rFonts w:ascii="Cambria Math" w:hAnsi="Cambria Math" w:eastAsia="Cambria Math"/>
                <w:sz w:val="8"/>
              </w:rPr>
              <w:t>.</w:t>
            </w: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 w:hRule="atLeast"/>
        </w:trPr>
        <w:tc>
          <w:tcPr>
            <w:tcW w:w="3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600" w:type="dxa"/>
            <w:gridSpan w:val="3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520" w:type="dxa"/>
            <w:vMerge w:val="restart"/>
            <w:shd w:val="clear" w:color="auto" w:fill="auto"/>
            <w:vAlign w:val="bottom"/>
          </w:tcPr>
          <w:p>
            <w:pPr>
              <w:spacing w:line="177" w:lineRule="exact"/>
              <w:rPr>
                <w:rFonts w:ascii="Cambria Math" w:hAnsi="Cambria Math" w:eastAsia="Cambria Math"/>
                <w:sz w:val="4"/>
              </w:rPr>
            </w:pPr>
            <w:r>
              <w:rPr>
                <w:rFonts w:ascii="Cambria Math" w:hAnsi="Cambria Math" w:eastAsia="Cambria Math"/>
                <w:sz w:val="4"/>
              </w:rPr>
              <w:t>1 −</w:t>
            </w:r>
          </w:p>
        </w:tc>
        <w:tc>
          <w:tcPr>
            <w:tcW w:w="18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38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52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3" w:hRule="atLeast"/>
        </w:trPr>
        <w:tc>
          <w:tcPr>
            <w:tcW w:w="3240" w:type="dxa"/>
            <w:shd w:val="clear" w:color="auto" w:fill="auto"/>
            <w:vAlign w:val="bottom"/>
          </w:tcPr>
          <w:p>
            <w:pPr>
              <w:spacing w:line="20" w:lineRule="exact"/>
              <w:rPr>
                <w:rFonts w:ascii="Times New Roman" w:hAnsi="Times New Roman" w:eastAsia="Times New Roman"/>
                <w:sz w:val="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>
            <w:pPr>
              <w:spacing w:line="20" w:lineRule="exact"/>
              <w:rPr>
                <w:rFonts w:ascii="Times New Roman" w:hAnsi="Times New Roman" w:eastAsia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20" w:lineRule="exact"/>
              <w:rPr>
                <w:rFonts w:ascii="Times New Roman" w:hAnsi="Times New Roman" w:eastAsia="Times New Roman"/>
                <w:sz w:val="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>
            <w:pPr>
              <w:spacing w:line="20" w:lineRule="exact"/>
              <w:rPr>
                <w:rFonts w:ascii="Times New Roman" w:hAnsi="Times New Roman" w:eastAsia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20" w:lineRule="exact"/>
              <w:rPr>
                <w:rFonts w:ascii="Times New Roman" w:hAnsi="Times New Roman" w:eastAsia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spacing w:line="20" w:lineRule="exact"/>
              <w:rPr>
                <w:rFonts w:ascii="Times New Roman" w:hAnsi="Times New Roman" w:eastAsia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>
            <w:pPr>
              <w:spacing w:line="20" w:lineRule="exact"/>
              <w:rPr>
                <w:rFonts w:ascii="Times New Roman" w:hAnsi="Times New Roman" w:eastAsia="Times New Roman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20" w:lineRule="exact"/>
              <w:rPr>
                <w:rFonts w:ascii="Times New Roman" w:hAnsi="Times New Roman" w:eastAsia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>
            <w:pPr>
              <w:spacing w:line="20" w:lineRule="exact"/>
              <w:rPr>
                <w:rFonts w:ascii="Times New Roman" w:hAnsi="Times New Roman" w:eastAsia="Times New Roman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20" w:lineRule="exact"/>
              <w:rPr>
                <w:rFonts w:ascii="Times New Roman" w:hAnsi="Times New Roman" w:eastAsia="Times New Roman"/>
                <w:sz w:val="1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23" w:lineRule="exact"/>
              <w:jc w:val="right"/>
              <w:rPr>
                <w:rFonts w:ascii="Cambria Math" w:hAnsi="Cambria Math" w:eastAsia="Cambria Math"/>
                <w:sz w:val="1"/>
              </w:rPr>
            </w:pPr>
            <w:r>
              <w:rPr>
                <w:rFonts w:ascii="Cambria Math" w:hAnsi="Cambria Math" w:eastAsia="Cambria Math"/>
                <w:sz w:val="1"/>
              </w:rPr>
              <w:t>1</w:t>
            </w: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20" w:lineRule="exact"/>
              <w:rPr>
                <w:rFonts w:ascii="Times New Roman" w:hAnsi="Times New Roman" w:eastAsia="Times New Roman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>
            <w:pPr>
              <w:spacing w:line="20" w:lineRule="exact"/>
              <w:rPr>
                <w:rFonts w:ascii="Times New Roman" w:hAnsi="Times New Roman" w:eastAsia="Times New Roman"/>
                <w:sz w:val="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20" w:lineRule="exact"/>
              <w:rPr>
                <w:rFonts w:ascii="Times New Roman" w:hAnsi="Times New Roman" w:eastAsia="Times New Roman"/>
                <w:sz w:val="1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>
            <w:pPr>
              <w:spacing w:line="20" w:lineRule="exact"/>
              <w:rPr>
                <w:rFonts w:ascii="Times New Roman" w:hAnsi="Times New Roman" w:eastAsia="Times New Roman"/>
                <w:sz w:val="1"/>
              </w:rPr>
            </w:pPr>
          </w:p>
        </w:tc>
      </w:tr>
    </w:tbl>
    <w:p>
      <w:pPr>
        <w:spacing w:line="0" w:lineRule="atLeast"/>
        <w:ind w:left="287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Як свідчить [5], в таких схемах можна досягти високої температурної стабільності.</w:t>
      </w:r>
    </w:p>
    <w:p>
      <w:pPr>
        <w:spacing w:line="0" w:lineRule="atLeast"/>
        <w:ind w:left="7"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ВИСНОВКИ: 1. Порівняно до цифрових пристроїв, схеми аналогових пристроїв з ЕТЕ містять значно мен-шу кількість елементів, що є принциповим для мікроімплантатів.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numPr>
          <w:ilvl w:val="0"/>
          <w:numId w:val="1"/>
        </w:numPr>
        <w:tabs>
          <w:tab w:val="left" w:pos="497"/>
        </w:tabs>
        <w:spacing w:line="0" w:lineRule="atLeast"/>
        <w:ind w:left="7" w:firstLine="27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Порівняно до аналогових інфранизькочастотних пристроїв, в яких для завдання часу використовують RC-ланцюжки з конденсаторами великої питомої ємності, пристрої з ЕТЕ, не поступаючись в температурній стабі-льності, мають менші габарити і масу, стійкість до іонізуючих випромінювань, низькоомність кіл задавання часу незалежно від часу затримки, що знижує вимоги до опору ізоляції апаратури і підвищує стійкість до три-валої дії високих значень вологості і температури.</w:t>
      </w:r>
    </w:p>
    <w:p>
      <w:pPr>
        <w:numPr>
          <w:ilvl w:val="0"/>
          <w:numId w:val="1"/>
        </w:numPr>
        <w:tabs>
          <w:tab w:val="left" w:pos="501"/>
        </w:tabs>
        <w:spacing w:line="239" w:lineRule="auto"/>
        <w:ind w:left="7" w:firstLine="27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Окрім застосування в складі низьковольтних пристроїв, включаючи пристрої на рівні інтегральної та гіб-ридної технологій, дискретні ЕТЕ можуть працювати в колах з напругою до декількох сотень вольт при стру-мах від частки міліамперу до десятків ампер.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numPr>
          <w:ilvl w:val="0"/>
          <w:numId w:val="1"/>
        </w:numPr>
        <w:tabs>
          <w:tab w:val="left" w:pos="509"/>
        </w:tabs>
        <w:spacing w:line="0" w:lineRule="atLeast"/>
        <w:ind w:left="7" w:firstLine="276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В багатьох випадках застосування ЕТЕ дозволяє суттєво спростити пристрій за рахунок суміщення ЕТЕ декількох функцій, наприклад елементів задавання часу, та виконуючого або ключового елементу.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right="-6"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ЛІТЕРАТУРА</w:t>
      </w:r>
    </w:p>
    <w:p>
      <w:pPr>
        <w:numPr>
          <w:ilvl w:val="1"/>
          <w:numId w:val="2"/>
        </w:numPr>
        <w:tabs>
          <w:tab w:val="left" w:pos="487"/>
        </w:tabs>
        <w:spacing w:line="0" w:lineRule="atLeast"/>
        <w:ind w:left="487" w:hanging="204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Warden M.R., Cardin J.A., Deisseroth K. Optical neural interfaces // Annual review of biomedical engineering №</w:t>
      </w:r>
    </w:p>
    <w:p>
      <w:pPr>
        <w:numPr>
          <w:ilvl w:val="0"/>
          <w:numId w:val="3"/>
        </w:numPr>
        <w:tabs>
          <w:tab w:val="left" w:pos="307"/>
        </w:tabs>
        <w:spacing w:line="237" w:lineRule="auto"/>
        <w:ind w:left="307" w:hanging="307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– 2014. – Р. 103–129.</w:t>
      </w:r>
    </w:p>
    <w:p>
      <w:pPr>
        <w:numPr>
          <w:ilvl w:val="1"/>
          <w:numId w:val="3"/>
        </w:numPr>
        <w:tabs>
          <w:tab w:val="left" w:pos="499"/>
        </w:tabs>
        <w:spacing w:line="0" w:lineRule="atLeast"/>
        <w:ind w:left="7" w:right="20" w:firstLine="276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Traverso G., Ciccarelli G., Schwartz S., Hughes T., Boettcher T., Barman R., Langer R., Swiston A. Physiologic status monitoring via the gastrointestinal tract. PloS one 10, 11. – 2015.</w:t>
      </w:r>
    </w:p>
    <w:p>
      <w:pPr>
        <w:numPr>
          <w:ilvl w:val="1"/>
          <w:numId w:val="3"/>
        </w:numPr>
        <w:tabs>
          <w:tab w:val="left" w:pos="507"/>
        </w:tabs>
        <w:spacing w:line="0" w:lineRule="atLeast"/>
        <w:ind w:left="507" w:hanging="224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Lazzi G. Thermal effects of bioimplants. // IEEE Engineering in Medicine and Biology Magazine №5 (24). –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7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2005. Р. 75–81.</w:t>
      </w:r>
    </w:p>
    <w:p>
      <w:pPr>
        <w:numPr>
          <w:ilvl w:val="1"/>
          <w:numId w:val="3"/>
        </w:numPr>
        <w:tabs>
          <w:tab w:val="left" w:pos="521"/>
        </w:tabs>
        <w:spacing w:line="239" w:lineRule="auto"/>
        <w:ind w:left="7" w:right="20" w:firstLine="276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Dicson J.F. On-chip high-voltage generation in mnos integrated circuits using an improved voltage multiplier technique // IEEE Journal of solid-state circuits №3 (11). – 2016. Р. 374–378.</w:t>
      </w:r>
    </w:p>
    <w:p>
      <w:pPr>
        <w:numPr>
          <w:ilvl w:val="1"/>
          <w:numId w:val="3"/>
        </w:numPr>
        <w:tabs>
          <w:tab w:val="left" w:pos="506"/>
        </w:tabs>
        <w:spacing w:line="272" w:lineRule="auto"/>
        <w:ind w:left="7" w:firstLine="276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Дружинин А. Я. Импульсные устройства с электро-тепловыми элементами. / А. Я. Дружинин. – М. : Ра-дио и связь, 1985. – 160 с.; ил.</w:t>
      </w:r>
      <w:bookmarkStart w:id="2" w:name="_GoBack"/>
      <w:bookmarkEnd w:id="2"/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1" w:lineRule="exact"/>
        <w:rPr>
          <w:rFonts w:ascii="Times New Roman" w:hAnsi="Times New Roman" w:eastAsia="Times New Roman"/>
        </w:rPr>
      </w:pPr>
    </w:p>
    <w:p>
      <w:pPr>
        <w:spacing w:line="236" w:lineRule="auto"/>
        <w:ind w:left="1480" w:right="120"/>
        <w:jc w:val="center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>ТЕХНОЛОГІЧНІ, ЕКОНОМІЧНІ ТА ЕКОЛОГІЧНІ ПЕРЕВАГИ ДОСЛІДЖЕННЯ СВЕРДЛОВИН НА ОДНОМУ РЕЖИМІ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7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 xml:space="preserve">Рой М.М. </w:t>
      </w:r>
      <w:r>
        <w:rPr>
          <w:rFonts w:ascii="Times New Roman" w:hAnsi="Times New Roman" w:eastAsia="Times New Roman"/>
        </w:rPr>
        <w:t>ORCID: 0000-0002-0415-3819,</w:t>
      </w:r>
      <w:r>
        <w:rPr>
          <w:rFonts w:ascii="Times New Roman" w:hAnsi="Times New Roman" w:eastAsia="Times New Roman"/>
          <w:b/>
        </w:rPr>
        <w:t xml:space="preserve"> Соловйов В.В.</w:t>
      </w:r>
    </w:p>
    <w:p>
      <w:pPr>
        <w:spacing w:line="4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7" w:right="3280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Полтавський національний технічний університет імені Юрія Кондратюка пр-кт Першотравневий, 24, м. Полтава, 36011, Україна</w:t>
      </w:r>
    </w:p>
    <w:p>
      <w:pPr>
        <w:spacing w:line="2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7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>Гладкий В.В.</w:t>
      </w:r>
    </w:p>
    <w:p>
      <w:pPr>
        <w:spacing w:line="239" w:lineRule="auto"/>
        <w:ind w:left="7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Кременчуцький національний університет імені Михайла Остроградського, м. Кременчук, 39600, Україна. Розглядаються аспекти дослідження газових та газоконденсатних свердловин з будь-яким характером фільтра-ції продукції в пласті до вибою свердловини. До цього часу задача дослідження свердловин на одному фактич-но відпрацьованому режимі є складною задачею. Вказаний напрямок її розв᾽язку. Він має вагомі переваги у порівнянні з напрямком традиційної технології. Також забезпечується можливість попереднього підрахунку величини початкових запасів газу за результатами дослідження свердловини на одному режимі.</w:t>
      </w:r>
    </w:p>
    <w:p>
      <w:pPr>
        <w:spacing w:line="2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7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/>
        </w:rPr>
        <w:t>Ключові слова</w:t>
      </w:r>
      <w:r>
        <w:rPr>
          <w:rFonts w:ascii="Times New Roman" w:hAnsi="Times New Roman" w:eastAsia="Times New Roman"/>
        </w:rPr>
        <w:t>: дослідження, стаціонарний режим, нестаціонарний режим, параметри, запаси.</w:t>
      </w:r>
    </w:p>
    <w:p>
      <w:pPr>
        <w:spacing w:line="20" w:lineRule="exac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drawing>
          <wp:anchor distT="0" distB="0" distL="114300" distR="114300" simplePos="0" relativeHeight="251819008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66040</wp:posOffset>
            </wp:positionV>
            <wp:extent cx="6158230" cy="8890"/>
            <wp:effectExtent l="0" t="0" r="0" b="0"/>
            <wp:wrapNone/>
            <wp:docPr id="6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8230" cy="8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112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147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ХVII Міжнародна науково-технічна конференція «Фізичні процеси та поля технічних і біологічних об’єктів»</w:t>
      </w:r>
    </w:p>
    <w:p>
      <w:pPr>
        <w:spacing w:line="0" w:lineRule="atLeast"/>
        <w:ind w:right="13"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49</w:t>
      </w:r>
    </w:p>
    <w:p>
      <w:pPr>
        <w:spacing w:line="0" w:lineRule="atLeast"/>
        <w:ind w:right="13"/>
        <w:jc w:val="center"/>
        <w:rPr>
          <w:rFonts w:ascii="Times New Roman" w:hAnsi="Times New Roman" w:eastAsia="Times New Roman"/>
        </w:rPr>
        <w:sectPr>
          <w:pgSz w:w="11900" w:h="16838"/>
          <w:pgMar w:top="490" w:right="1126" w:bottom="45" w:left="1133" w:header="0" w:footer="0" w:gutter="0"/>
          <w:cols w:equalWidth="0" w:num="1">
            <w:col w:w="9647"/>
          </w:cols>
          <w:docGrid w:linePitch="360" w:charSpace="0"/>
        </w:sectPr>
      </w:pPr>
    </w:p>
    <w:p>
      <w:pPr>
        <w:spacing w:line="272" w:lineRule="auto"/>
        <w:ind w:right="20"/>
        <w:jc w:val="center"/>
        <w:rPr>
          <w:rFonts w:ascii="Times New Roman" w:hAnsi="Times New Roman" w:eastAsia="Times New Roman"/>
        </w:rPr>
      </w:pPr>
      <w:bookmarkStart w:id="0" w:name="page51"/>
      <w:bookmarkEnd w:id="0"/>
      <w:r>
        <w:rPr>
          <w:rFonts w:ascii="Times New Roman" w:hAnsi="Times New Roman" w:eastAsia="Times New Roman"/>
        </w:rPr>
        <w:t>МЕТОДИ ТА ЗАСОБИ ҐЕНЕРУВАННЯ, ІНДИКАЦІЇ ТА ВИЗНАЧЕННЯ ПАРАМЕТРІВ ФІЗИЧНИХ ПОЛІВ ТЕХНІЧНИХ І БІОЛОГІЧНИХ ОБ’ЄКТІВ</w:t>
      </w:r>
    </w:p>
    <w:p>
      <w:pPr>
        <w:spacing w:line="20" w:lineRule="exac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drawing>
          <wp:anchor distT="0" distB="0" distL="114300" distR="114300" simplePos="0" relativeHeight="251820032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-12700</wp:posOffset>
            </wp:positionV>
            <wp:extent cx="6158230" cy="8890"/>
            <wp:effectExtent l="0" t="0" r="0" b="0"/>
            <wp:wrapNone/>
            <wp:docPr id="5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8230" cy="8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8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right="20"/>
        <w:jc w:val="center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>TECHNOLOGICAL, ECONOMIC AND ECOLOGICAL ADVANTAGES OF SURPLUS RESEARCH ON ONE MODE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>Roy M., Solovyov V.</w:t>
      </w:r>
    </w:p>
    <w:p>
      <w:pPr>
        <w:spacing w:line="0" w:lineRule="atLeas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Poltava national technical university of the Yurij Kondratyuka name, prosp. May day, 24, m. Poltava, 36011, Ukraine.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>Gladkyi V.</w:t>
      </w:r>
    </w:p>
    <w:p>
      <w:pPr>
        <w:spacing w:line="237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Kremenchuk Mykhailo Ostrohradskiy National University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vul. Pershotravneva , 20, Kremenchuk, Ukraine 39600.</w:t>
      </w:r>
    </w:p>
    <w:p>
      <w:pPr>
        <w:spacing w:line="239" w:lineRule="auto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The publication deals with the aspect of the gas and gas-condensate wells degradation with any products filtration in the reservoir to the wellbore. Until now, the task of wells researching only one actual mode is a complicated task. The indi-cated direction of its resolution. It has significant advantages over the direction of traditional technology. It also pro-vides for the possibility of preliminary calculation of the initial gas reserves value by the results of a well research in only one mode.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/>
        </w:rPr>
        <w:t xml:space="preserve">Key words: </w:t>
      </w:r>
      <w:r>
        <w:rPr>
          <w:rFonts w:ascii="Times New Roman" w:hAnsi="Times New Roman" w:eastAsia="Times New Roman"/>
        </w:rPr>
        <w:t>research, stationary mode, nonsteady mode, parameters, stocks.</w:t>
      </w:r>
    </w:p>
    <w:p>
      <w:pPr>
        <w:spacing w:line="235" w:lineRule="exact"/>
        <w:rPr>
          <w:rFonts w:ascii="Times New Roman" w:hAnsi="Times New Roman" w:eastAsia="Times New Roman"/>
        </w:rPr>
      </w:pPr>
    </w:p>
    <w:p>
      <w:pPr>
        <w:spacing w:line="0" w:lineRule="atLeast"/>
        <w:ind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АКТУАЛЬНІСТЬ РОБОТИ. У світовій енергетиці природний газ відіграє і ще довго буде відігравати важли-ву роль у світовій енергетиці. Він має набагато вищий видобувний потенціал, ніж нафта. Крім того, як енерго-носій він набагато менше шкоди завдає глобальній екології. Ще одним позитивом є те, що він позбавлений ри-зиків сучасної ядерної енергетики. Україна, яка була серед лідерів у сфері індустрії природного газу, зараз ви-явилася на узбіччі газового тренду.</w:t>
      </w:r>
    </w:p>
    <w:p>
      <w:pPr>
        <w:spacing w:line="239" w:lineRule="auto"/>
        <w:ind w:firstLine="33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Ми досі не можемо вийти із ситуації обвального падіння обсягів глибокого буріння та приросту запасів вуг-леводневої сировини. Упродовж останніх 25 років відбулося не лише падіння обсягів глибокого буріння та сей-сморозвідки, а розбалансування геолого-розвідувального процесу. Тому слід прикласти зусилля саме в тих на-прямках, які в змозі дати порівняно швидкий та тривалий ефект [1].</w:t>
      </w:r>
    </w:p>
    <w:p>
      <w:pPr>
        <w:spacing w:line="3" w:lineRule="exact"/>
        <w:rPr>
          <w:rFonts w:ascii="Times New Roman" w:hAnsi="Times New Roman" w:eastAsia="Times New Roman"/>
        </w:rPr>
      </w:pPr>
    </w:p>
    <w:p>
      <w:pPr>
        <w:spacing w:line="0" w:lineRule="atLeast"/>
        <w:ind w:firstLine="284"/>
        <w:jc w:val="both"/>
        <w:rPr>
          <w:rFonts w:ascii="Times New Roman" w:hAnsi="Times New Roman" w:eastAsia="Times New Roman"/>
          <w:i/>
        </w:rPr>
      </w:pPr>
      <w:r>
        <w:rPr>
          <w:rFonts w:ascii="Times New Roman" w:hAnsi="Times New Roman" w:eastAsia="Times New Roman"/>
        </w:rPr>
        <w:t>Аналіз стану галузі вказує на необхідність швидкого подальшого нарощування запасів газової сировини. Враховуючи зростання наукоємності освоєння вуглеводневого потенціалу надр останніми роками, слід більш широко застосовувати нові технології та обладнання, які в короткочасній перспективі здатні впливати на ре-зультативність видобувної галузі</w:t>
      </w:r>
      <w:r>
        <w:rPr>
          <w:rFonts w:ascii="Times New Roman" w:hAnsi="Times New Roman" w:eastAsia="Times New Roman"/>
          <w:i/>
        </w:rPr>
        <w:t>.</w:t>
      </w:r>
    </w:p>
    <w:p>
      <w:pPr>
        <w:spacing w:line="2" w:lineRule="exact"/>
        <w:rPr>
          <w:rFonts w:ascii="Times New Roman" w:hAnsi="Times New Roman" w:eastAsia="Times New Roman"/>
        </w:rPr>
      </w:pPr>
    </w:p>
    <w:p>
      <w:pPr>
        <w:spacing w:line="239" w:lineRule="auto"/>
        <w:ind w:right="20"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МАТЕРІАЛ І РЕЗУЛЬТАТИ ДОСЛІДЖЕНЬ. Дослідженню свердловини піддають в процесі їх експлуатації та на стадії розвідки.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right="20"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Дослідження газових та газоконденсатних об’єктів включає в себе комплекс взаємопов’язаних методів, що відрізняються за теоретичною основою, технологією і технікою виконання. Всі три складові дуже важливі для якісного вивчення свердловин.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239" w:lineRule="auto"/>
        <w:ind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Відомо, що в технологічному плані процес дослідження свердловини складається з циклів. До їх складу входять два процеси - процес роботи свердловини на конкретному режимі ( задається діафрагмою штуцером і т.п), а також процес зняття кривої відновлення тиску (КВТ), який фіксується після того, як свердловина закри-та.</w:t>
      </w:r>
    </w:p>
    <w:p>
      <w:pPr>
        <w:spacing w:line="3" w:lineRule="exact"/>
        <w:rPr>
          <w:rFonts w:ascii="Times New Roman" w:hAnsi="Times New Roman" w:eastAsia="Times New Roman"/>
        </w:rPr>
      </w:pPr>
    </w:p>
    <w:p>
      <w:pPr>
        <w:numPr>
          <w:ilvl w:val="0"/>
          <w:numId w:val="4"/>
        </w:numPr>
        <w:tabs>
          <w:tab w:val="left" w:pos="490"/>
        </w:tabs>
        <w:spacing w:line="0" w:lineRule="atLeast"/>
        <w:ind w:firstLine="27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процесі дослідження газових та газоконденсатних свердловин згідно із діючими інструкціями відпрацьо-вують не менше 5-8 режимів роботи свердловини. При цьому 2-3 режими з 8 необхідно проводити зворотним ходом. Тобто необхідно дотримуватись переходу з більших дебітів на менші з метою перевірки даних, отрима-них при порівняно невеликих дебітах. Це робиться для того, щоб усунути вплив на дебіт свердловини таких можливих факторів: наявність стовпа рідини на вибої та забруднення вибою. Але в цьому випадку дуже склад-но, а точніше - практично неможливо досягти повної стабілізації тисків і дебітів на всіх режимах. Це вносить певну некоректність в сам спосіб дослідження. Враховуючи, що один режим дослідження може тривати в часі від однієї чи кількох годин (для високодебітних свердловин, коли при після припинення роботи свердловини тиск відновлюється миттєво) до доби чи навіть місяця (якщо свердловина малодебітна), можна зробити висно-вок про тривалість дослідження на 5-8 режимах. В умовах відсутності газопроводу (типова ситуація для пошу-ково-розвідувальних свердловин) газ спалюють в факелах. Це призводить до великих втрат газу в процесі дос-лідження газових свердловин на всій території України.</w:t>
      </w:r>
    </w:p>
    <w:p>
      <w:pPr>
        <w:spacing w:line="0" w:lineRule="atLeast"/>
        <w:ind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Щоб уникнути втрат часу на дослідження газу чи газоконденсату (якщо газ спалюється у факелі при відсут-ності газопроводу), коштів на забезпечення відпрацювання 5-8 стаціонарних режимів та отримати при цьому в кілька разів більше інформації про досліджувані пласти запропоновано спосіб дослідження на одному режимі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237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[2].</w:t>
      </w:r>
    </w:p>
    <w:p>
      <w:pPr>
        <w:spacing w:line="0" w:lineRule="atLeast"/>
        <w:ind w:firstLine="284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Газові об’єкти з нестаціонарним режимом фільтрації до цього часу не були забезпечені технологією їх дос-лідження.</w:t>
      </w:r>
    </w:p>
    <w:p>
      <w:pPr>
        <w:spacing w:line="239" w:lineRule="auto"/>
        <w:ind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Але на сьогодні ця задача також вирішена. Розроблено новий спосіб дослідження в короткочасному варіанті для випадку нестаціонарної фільтрації газу чи газоконденсату до вибою свердловини при її дослідженні [3]. В таких свердловинах після зупинки їх роботи тиск відновлюється практично миттєво. Це означає можливість в принципі проводити дослідження високодебітних газових та газоконденсатних свердловин.</w:t>
      </w:r>
    </w:p>
    <w:p>
      <w:pPr>
        <w:spacing w:line="3" w:lineRule="exact"/>
        <w:rPr>
          <w:rFonts w:ascii="Times New Roman" w:hAnsi="Times New Roman" w:eastAsia="Times New Roman"/>
        </w:rPr>
      </w:pPr>
    </w:p>
    <w:p>
      <w:pPr>
        <w:spacing w:line="0" w:lineRule="atLeast"/>
        <w:ind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Завдяки запропонованому нами новому способу дослідження газових та газоконденсатних свердловин [2] при стаціонарному чи навіть нестаціонарному режимі фільтрації [2, 3] можливо вирішити задачу їх досліджен-ня незалежно характеру припливу продукції.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272" w:lineRule="auto"/>
        <w:ind w:right="20"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Взагалі за новою технологією дослідження на одному режимі та новою методикою інтерпретації можливо визначити більше 20 газогідродинамічних параметрів досліджуваних пластів. Для порівняння – інтерпретація</w:t>
      </w:r>
    </w:p>
    <w:p>
      <w:pPr>
        <w:spacing w:line="20" w:lineRule="exac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drawing>
          <wp:anchor distT="0" distB="0" distL="114300" distR="114300" simplePos="0" relativeHeight="251821056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47625</wp:posOffset>
            </wp:positionV>
            <wp:extent cx="6158230" cy="8890"/>
            <wp:effectExtent l="0" t="0" r="0" b="0"/>
            <wp:wrapNone/>
            <wp:docPr id="4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8230" cy="8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90" w:lineRule="exact"/>
        <w:rPr>
          <w:rFonts w:ascii="Times New Roman" w:hAnsi="Times New Roman" w:eastAsia="Times New Roman"/>
        </w:rPr>
      </w:pPr>
    </w:p>
    <w:p>
      <w:pPr>
        <w:spacing w:line="264" w:lineRule="auto"/>
        <w:ind w:right="20"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ХVII Міжнародна науково-технічна конференція «Фізичні процеси та поля технічних і біологічних об’єктів» 50</w:t>
      </w:r>
    </w:p>
    <w:p>
      <w:pPr>
        <w:spacing w:line="264" w:lineRule="auto"/>
        <w:ind w:right="20"/>
        <w:jc w:val="center"/>
        <w:rPr>
          <w:rFonts w:ascii="Times New Roman" w:hAnsi="Times New Roman" w:eastAsia="Times New Roman"/>
        </w:rPr>
        <w:sectPr>
          <w:pgSz w:w="11900" w:h="16838"/>
          <w:pgMar w:top="490" w:right="1126" w:bottom="0" w:left="1140" w:header="0" w:footer="0" w:gutter="0"/>
          <w:cols w:equalWidth="0" w:num="1">
            <w:col w:w="9640"/>
          </w:cols>
          <w:docGrid w:linePitch="360" w:charSpace="0"/>
        </w:sectPr>
      </w:pPr>
    </w:p>
    <w:p>
      <w:pPr>
        <w:spacing w:line="272" w:lineRule="auto"/>
        <w:ind w:right="20"/>
        <w:jc w:val="center"/>
        <w:rPr>
          <w:rFonts w:ascii="Times New Roman" w:hAnsi="Times New Roman" w:eastAsia="Times New Roman"/>
        </w:rPr>
      </w:pPr>
      <w:bookmarkStart w:id="1" w:name="page52"/>
      <w:bookmarkEnd w:id="1"/>
      <w:r>
        <w:rPr>
          <w:rFonts w:ascii="Times New Roman" w:hAnsi="Times New Roman" w:eastAsia="Times New Roman"/>
        </w:rPr>
        <w:t>МЕТОДИ ТА ЗАСОБИ ҐЕНЕРУВАННЯ, ІНДИКАЦІЇ ТА ВИЗНАЧЕННЯ ПАРАМЕТРІВ ФІЗИЧНИХ ПОЛІВ ТЕХНІЧНИХ І БІОЛОГІЧНИХ ОБ’ЄКТІВ</w:t>
      </w:r>
    </w:p>
    <w:p>
      <w:pPr>
        <w:spacing w:line="20" w:lineRule="exac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drawing>
          <wp:anchor distT="0" distB="0" distL="114300" distR="114300" simplePos="0" relativeHeight="251822080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-12700</wp:posOffset>
            </wp:positionV>
            <wp:extent cx="6158230" cy="8890"/>
            <wp:effectExtent l="0" t="0" r="0" b="0"/>
            <wp:wrapNone/>
            <wp:docPr id="3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8230" cy="8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8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результатів дослідження традиційним способом дає можливість отримати 5-8 газогідродинамічних параметрів.</w:t>
      </w:r>
    </w:p>
    <w:p>
      <w:pPr>
        <w:spacing w:line="0" w:lineRule="atLeast"/>
        <w:ind w:left="280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Тобто інформативність нових технологій [2, 3] та методик інтерпретації є очевидними.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ВИСНОВКИ. Оскільки ефективність нових технологій чи технічних засобів визначається перш за все з еко-номічної точки зору, то можна стверджувати, що економічною складовою нових способів дослідження сверд-ловин при стаціонарній [2] чи нестаціонарній [3] фільтрації є: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numPr>
          <w:ilvl w:val="0"/>
          <w:numId w:val="5"/>
        </w:numPr>
        <w:tabs>
          <w:tab w:val="left" w:pos="420"/>
        </w:tabs>
        <w:spacing w:line="239" w:lineRule="auto"/>
        <w:ind w:right="20" w:firstLine="276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розширення контингенту досліджуваних свердловин за рахунок дослідження свердловин високодебітних та малодебітних;</w:t>
      </w:r>
    </w:p>
    <w:p>
      <w:pPr>
        <w:numPr>
          <w:ilvl w:val="0"/>
          <w:numId w:val="5"/>
        </w:numPr>
        <w:tabs>
          <w:tab w:val="left" w:pos="411"/>
        </w:tabs>
        <w:spacing w:line="0" w:lineRule="atLeast"/>
        <w:ind w:right="20" w:firstLine="276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скорочення часу а відповідно і коштів на дослідження свердловин (проводиться один режим дослідження замість 5-8);</w:t>
      </w:r>
    </w:p>
    <w:p>
      <w:pPr>
        <w:numPr>
          <w:ilvl w:val="0"/>
          <w:numId w:val="5"/>
        </w:numPr>
        <w:tabs>
          <w:tab w:val="left" w:pos="411"/>
        </w:tabs>
        <w:spacing w:line="0" w:lineRule="atLeast"/>
        <w:ind w:right="20" w:firstLine="276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скорочення втрат газу від спалювання його у факелах в 4-5 разів у випадку випуску газу в атмосферу при проведенні досліджень;</w:t>
      </w:r>
    </w:p>
    <w:p>
      <w:pPr>
        <w:numPr>
          <w:ilvl w:val="0"/>
          <w:numId w:val="5"/>
        </w:numPr>
        <w:tabs>
          <w:tab w:val="left" w:pos="400"/>
        </w:tabs>
        <w:spacing w:line="237" w:lineRule="auto"/>
        <w:ind w:left="400" w:hanging="124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збільшення об’єму отримуваної інформації про досліджувані пласти в кілька разів;</w:t>
      </w:r>
    </w:p>
    <w:p>
      <w:pPr>
        <w:numPr>
          <w:ilvl w:val="0"/>
          <w:numId w:val="5"/>
        </w:numPr>
        <w:tabs>
          <w:tab w:val="left" w:pos="420"/>
        </w:tabs>
        <w:spacing w:line="0" w:lineRule="atLeast"/>
        <w:ind w:firstLine="276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збереження екологічної чистоти довкілля в умовах відсутності газопроводу, що є дуже актуальним в су-часних умовах.</w:t>
      </w:r>
    </w:p>
    <w:p>
      <w:pPr>
        <w:spacing w:line="0" w:lineRule="atLeast"/>
        <w:ind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Крім того, як виявилось, є ще одна позитивна сторона нових способів дослідження. Вона зумовлена тим, що на стадії буріння можливо отримати інформацію про потенціальні можливості продуктивних горизонтів. Роз-роблено спосіб попереднього підрахунку величини початкових запасів газу для її отримання, який захищений патентом України [4]. Саме для його застосування достатньо даних відпрацювання виключно одного режиму дослідження.</w:t>
      </w:r>
    </w:p>
    <w:p>
      <w:pPr>
        <w:spacing w:line="0" w:lineRule="atLeast"/>
        <w:ind w:firstLine="33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Все разом підкреслює оптимальність нових способів дослідження газових та газоконденсатних свердловин за новими технологіями. Вони показали себе самодостатніми з точки зору інформативності, точності, оператив-ності, економічної ефективності та екологічної доцільності.</w:t>
      </w:r>
    </w:p>
    <w:p>
      <w:pPr>
        <w:spacing w:line="0" w:lineRule="atLeast"/>
        <w:ind w:right="-339"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ЛІТЕРАТУРА</w:t>
      </w:r>
    </w:p>
    <w:p>
      <w:pPr>
        <w:numPr>
          <w:ilvl w:val="0"/>
          <w:numId w:val="6"/>
        </w:numPr>
        <w:tabs>
          <w:tab w:val="left" w:pos="492"/>
        </w:tabs>
        <w:spacing w:line="0" w:lineRule="atLeast"/>
        <w:ind w:firstLine="276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Лукін О.Ю. Газовий потенціал надр України та шляхи його освоєння / Лукін О.Ю., Пригарі на Т.М.// Збі-рник наукових праць УкрДГРІ. – 2018. -№1-2. – С. 78-80.</w:t>
      </w:r>
    </w:p>
    <w:p>
      <w:pPr>
        <w:numPr>
          <w:ilvl w:val="0"/>
          <w:numId w:val="6"/>
        </w:numPr>
        <w:tabs>
          <w:tab w:val="left" w:pos="567"/>
        </w:tabs>
        <w:spacing w:line="0" w:lineRule="atLeast"/>
        <w:ind w:right="240" w:firstLine="276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Пат. 51729 Україна, МПК3 Е21В 47/06. Спосіб дослідження газових свердловин / Матус Б.А., Курилюк Л.В., Славін В.І., Горлачова Л.Ф., Токарєв В.П., Клименко Ю.О.; заявник і патентовласник Матус Б.А. - № U 200601237; заявл. 01.04.99; опубл. 16.12.02, Бюл. №12.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numPr>
          <w:ilvl w:val="0"/>
          <w:numId w:val="6"/>
        </w:numPr>
        <w:tabs>
          <w:tab w:val="left" w:pos="567"/>
        </w:tabs>
        <w:spacing w:line="239" w:lineRule="auto"/>
        <w:ind w:right="100" w:firstLine="276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Пат. 121860 Україна МПК(2017.01) Е 21В 47/00. Спосіб дослідження високопродуктивних газових та га-зоконденсатних свердловин при нестаціонарному режимі фільтрації / Рой М.М.; заявник і патентовласник Рой М.М.; заявл. 09.02 2017р; опубл. 26.12.17, Бюл №24.</w:t>
      </w:r>
    </w:p>
    <w:p>
      <w:pPr>
        <w:spacing w:line="2" w:lineRule="exact"/>
        <w:rPr>
          <w:rFonts w:ascii="Times New Roman" w:hAnsi="Times New Roman" w:eastAsia="Times New Roman"/>
        </w:rPr>
      </w:pPr>
    </w:p>
    <w:p>
      <w:pPr>
        <w:numPr>
          <w:ilvl w:val="0"/>
          <w:numId w:val="6"/>
        </w:numPr>
        <w:tabs>
          <w:tab w:val="left" w:pos="567"/>
        </w:tabs>
        <w:spacing w:line="272" w:lineRule="auto"/>
        <w:ind w:right="40" w:firstLine="276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Пат. 110657 Україна МПК(2017.01) Е 21В 47/00. Спосіб попередньої оцінки величини початкових запасів газу / Рой М.М., заявник і патентовласник Рой М.М., заявл. 04.03.2016; опубл.25.10.2016, Бюл. №20.</w:t>
      </w:r>
    </w:p>
    <w:p>
      <w:pPr>
        <w:rPr>
          <w:rFonts w:hint="defaul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3"/>
    <w:multiLevelType w:val="multilevel"/>
    <w:tmpl w:val="00000043"/>
    <w:lvl w:ilvl="0" w:tentative="0">
      <w:start w:val="23"/>
      <w:numFmt w:val="decimal"/>
      <w:lvlText w:val=""/>
      <w:lvlJc w:val="left"/>
    </w:lvl>
    <w:lvl w:ilvl="1" w:tentative="0">
      <w:start w:val="16777728"/>
      <w:numFmt w:val="decimal"/>
      <w:lvlText w:val=""/>
      <w:lvlJc w:val="left"/>
    </w:lvl>
    <w:lvl w:ilvl="2" w:tentative="0">
      <w:start w:val="23"/>
      <w:numFmt w:val="decimal"/>
      <w:lvlText w:val=""/>
      <w:lvlJc w:val="left"/>
    </w:lvl>
    <w:lvl w:ilvl="3" w:tentative="0">
      <w:start w:val="23"/>
      <w:numFmt w:val="decimal"/>
      <w:lvlText w:val=""/>
      <w:lvlJc w:val="left"/>
    </w:lvl>
    <w:lvl w:ilvl="4" w:tentative="0">
      <w:start w:val="23"/>
      <w:numFmt w:val="decimal"/>
      <w:lvlText w:val=""/>
      <w:lvlJc w:val="left"/>
    </w:lvl>
    <w:lvl w:ilvl="5" w:tentative="0">
      <w:start w:val="23"/>
      <w:numFmt w:val="decimal"/>
      <w:lvlText w:val=""/>
      <w:lvlJc w:val="left"/>
    </w:lvl>
    <w:lvl w:ilvl="6" w:tentative="0">
      <w:start w:val="23"/>
      <w:numFmt w:val="decimal"/>
      <w:lvlText w:val=""/>
      <w:lvlJc w:val="left"/>
    </w:lvl>
    <w:lvl w:ilvl="7" w:tentative="0">
      <w:start w:val="23"/>
      <w:numFmt w:val="decimal"/>
      <w:lvlText w:val=""/>
      <w:lvlJc w:val="left"/>
    </w:lvl>
    <w:lvl w:ilvl="8" w:tentative="0">
      <w:start w:val="23"/>
      <w:numFmt w:val="decimal"/>
      <w:lvlText w:val=""/>
      <w:lvlJc w:val="left"/>
    </w:lvl>
  </w:abstractNum>
  <w:abstractNum w:abstractNumId="1">
    <w:nsid w:val="00000044"/>
    <w:multiLevelType w:val="multilevel"/>
    <w:tmpl w:val="00000044"/>
    <w:lvl w:ilvl="0" w:tentative="0">
      <w:start w:val="23"/>
      <w:numFmt w:val="decimal"/>
      <w:lvlText w:val=""/>
      <w:lvlJc w:val="left"/>
    </w:lvl>
    <w:lvl w:ilvl="1" w:tentative="0">
      <w:start w:val="5888"/>
      <w:numFmt w:val="decimal"/>
      <w:lvlText w:val=""/>
      <w:lvlJc w:val="left"/>
    </w:lvl>
    <w:lvl w:ilvl="2" w:tentative="0">
      <w:start w:val="5888"/>
      <w:numFmt w:val="decimal"/>
      <w:lvlText w:val=""/>
      <w:lvlJc w:val="left"/>
    </w:lvl>
    <w:lvl w:ilvl="3" w:tentative="0">
      <w:start w:val="5888"/>
      <w:numFmt w:val="decimal"/>
      <w:lvlText w:val=""/>
      <w:lvlJc w:val="left"/>
    </w:lvl>
    <w:lvl w:ilvl="4" w:tentative="0">
      <w:start w:val="5888"/>
      <w:numFmt w:val="decimal"/>
      <w:lvlText w:val=""/>
      <w:lvlJc w:val="left"/>
    </w:lvl>
    <w:lvl w:ilvl="5" w:tentative="0">
      <w:start w:val="5888"/>
      <w:numFmt w:val="decimal"/>
      <w:lvlText w:val=""/>
      <w:lvlJc w:val="left"/>
    </w:lvl>
    <w:lvl w:ilvl="6" w:tentative="0">
      <w:start w:val="5888"/>
      <w:numFmt w:val="decimal"/>
      <w:lvlText w:val=""/>
      <w:lvlJc w:val="left"/>
    </w:lvl>
    <w:lvl w:ilvl="7" w:tentative="0">
      <w:start w:val="5888"/>
      <w:numFmt w:val="decimal"/>
      <w:lvlText w:val=""/>
      <w:lvlJc w:val="left"/>
    </w:lvl>
    <w:lvl w:ilvl="8" w:tentative="0">
      <w:start w:val="5888"/>
      <w:numFmt w:val="decimal"/>
      <w:lvlText w:val=""/>
      <w:lvlJc w:val="left"/>
    </w:lvl>
  </w:abstractNum>
  <w:abstractNum w:abstractNumId="2">
    <w:nsid w:val="00000045"/>
    <w:multiLevelType w:val="multilevel"/>
    <w:tmpl w:val="00000045"/>
    <w:lvl w:ilvl="0" w:tentative="0">
      <w:start w:val="16777216"/>
      <w:numFmt w:val="decimal"/>
      <w:lvlText w:val=""/>
      <w:lvlJc w:val="left"/>
    </w:lvl>
    <w:lvl w:ilvl="1" w:tentative="0">
      <w:start w:val="50331648"/>
      <w:numFmt w:val="decimal"/>
      <w:lvlText w:val=""/>
      <w:lvlJc w:val="center"/>
    </w:lvl>
    <w:lvl w:ilvl="2" w:tentative="0">
      <w:start w:val="256"/>
      <w:numFmt w:val="decimal"/>
      <w:lvlText w:val="Ā⸀Ā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23"/>
      <w:numFmt w:val="decimal"/>
      <w:lvlText w:val=""/>
      <w:lvlJc w:val="left"/>
    </w:lvl>
    <w:lvl w:ilvl="7" w:tentative="0">
      <w:start w:val="23"/>
      <w:numFmt w:val="decimal"/>
      <w:lvlText w:val=""/>
      <w:lvlJc w:val="left"/>
    </w:lvl>
    <w:lvl w:ilvl="8" w:tentative="0">
      <w:start w:val="23"/>
      <w:numFmt w:val="decimal"/>
      <w:lvlText w:val=""/>
      <w:lvlJc w:val="left"/>
    </w:lvl>
  </w:abstractNum>
  <w:abstractNum w:abstractNumId="3">
    <w:nsid w:val="00000046"/>
    <w:multiLevelType w:val="multilevel"/>
    <w:tmpl w:val="00000046"/>
    <w:lvl w:ilvl="0" w:tentative="0">
      <w:start w:val="23"/>
      <w:numFmt w:val="decimal"/>
      <w:lvlText w:val=""/>
      <w:lvlJc w:val="left"/>
    </w:lvl>
    <w:lvl w:ilvl="1" w:tentative="0">
      <w:start w:val="23"/>
      <w:numFmt w:val="decimal"/>
      <w:lvlText w:val=""/>
      <w:lvlJc w:val="left"/>
    </w:lvl>
    <w:lvl w:ilvl="2" w:tentative="0">
      <w:start w:val="23"/>
      <w:numFmt w:val="decimal"/>
      <w:lvlText w:val=""/>
      <w:lvlJc w:val="left"/>
    </w:lvl>
    <w:lvl w:ilvl="3" w:tentative="0">
      <w:start w:val="23"/>
      <w:numFmt w:val="decimal"/>
      <w:lvlText w:val=""/>
      <w:lvlJc w:val="left"/>
    </w:lvl>
    <w:lvl w:ilvl="4" w:tentative="0">
      <w:start w:val="65536"/>
      <w:numFmt w:val="decimal"/>
      <w:lvlText w:val=""/>
      <w:lvlJc w:val="left"/>
    </w:lvl>
    <w:lvl w:ilvl="5" w:tentative="0">
      <w:start w:val="23"/>
      <w:numFmt w:val="decimal"/>
      <w:lvlText w:val=""/>
      <w:lvlJc w:val="left"/>
    </w:lvl>
    <w:lvl w:ilvl="6" w:tentative="0">
      <w:start w:val="23"/>
      <w:numFmt w:val="decimal"/>
      <w:lvlText w:val=""/>
      <w:lvlJc w:val="left"/>
    </w:lvl>
    <w:lvl w:ilvl="7" w:tentative="0">
      <w:start w:val="23"/>
      <w:numFmt w:val="decimal"/>
      <w:lvlText w:val=""/>
      <w:lvlJc w:val="left"/>
    </w:lvl>
    <w:lvl w:ilvl="8" w:tentative="0">
      <w:start w:val="23"/>
      <w:numFmt w:val="decimal"/>
      <w:lvlText w:val=""/>
      <w:lvlJc w:val="left"/>
    </w:lvl>
  </w:abstractNum>
  <w:abstractNum w:abstractNumId="4">
    <w:nsid w:val="00000047"/>
    <w:multiLevelType w:val="multilevel"/>
    <w:tmpl w:val="00000047"/>
    <w:lvl w:ilvl="0" w:tentative="0">
      <w:start w:val="23"/>
      <w:numFmt w:val="decimal"/>
      <w:lvlText w:val=""/>
      <w:lvlJc w:val="left"/>
    </w:lvl>
    <w:lvl w:ilvl="1" w:tentative="0">
      <w:start w:val="23"/>
      <w:numFmt w:val="decimal"/>
      <w:lvlText w:val=""/>
      <w:lvlJc w:val="left"/>
    </w:lvl>
    <w:lvl w:ilvl="2" w:tentative="0">
      <w:start w:val="23"/>
      <w:numFmt w:val="decimal"/>
      <w:lvlText w:val=""/>
      <w:lvlJc w:val="left"/>
    </w:lvl>
    <w:lvl w:ilvl="3" w:tentative="0">
      <w:start w:val="23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5888"/>
      <w:numFmt w:val="decimal"/>
      <w:lvlText w:val=""/>
      <w:lvlJc w:val="left"/>
    </w:lvl>
    <w:lvl w:ilvl="6" w:tentative="0">
      <w:start w:val="5888"/>
      <w:numFmt w:val="decimal"/>
      <w:lvlText w:val=""/>
      <w:lvlJc w:val="left"/>
    </w:lvl>
    <w:lvl w:ilvl="7" w:tentative="0">
      <w:start w:val="5888"/>
      <w:numFmt w:val="decimal"/>
      <w:lvlText w:val=""/>
      <w:lvlJc w:val="left"/>
    </w:lvl>
    <w:lvl w:ilvl="8" w:tentative="0">
      <w:start w:val="5888"/>
      <w:numFmt w:val="decimal"/>
      <w:lvlText w:val=""/>
      <w:lvlJc w:val="left"/>
    </w:lvl>
  </w:abstractNum>
  <w:abstractNum w:abstractNumId="5">
    <w:nsid w:val="00000048"/>
    <w:multiLevelType w:val="multilevel"/>
    <w:tmpl w:val="00000048"/>
    <w:lvl w:ilvl="0" w:tentative="0">
      <w:start w:val="5888"/>
      <w:numFmt w:val="decimal"/>
      <w:lvlText w:val=""/>
      <w:lvlJc w:val="left"/>
    </w:lvl>
    <w:lvl w:ilvl="1" w:tentative="0">
      <w:start w:val="5888"/>
      <w:numFmt w:val="decimal"/>
      <w:lvlText w:val=""/>
      <w:lvlJc w:val="left"/>
    </w:lvl>
    <w:lvl w:ilvl="2" w:tentative="0">
      <w:start w:val="5888"/>
      <w:numFmt w:val="decimal"/>
      <w:lvlText w:val=""/>
      <w:lvlJc w:val="left"/>
    </w:lvl>
    <w:lvl w:ilvl="3" w:tentative="0">
      <w:start w:val="5888"/>
      <w:numFmt w:val="decimal"/>
      <w:lvlText w:val=""/>
      <w:lvlJc w:val="left"/>
    </w:lvl>
    <w:lvl w:ilvl="4" w:tentative="0">
      <w:start w:val="23"/>
      <w:numFmt w:val="decimal"/>
      <w:lvlText w:val=""/>
      <w:lvlJc w:val="left"/>
    </w:lvl>
    <w:lvl w:ilvl="5" w:tentative="0">
      <w:start w:val="5888"/>
      <w:numFmt w:val="decimal"/>
      <w:lvlText w:val=""/>
      <w:lvlJc w:val="left"/>
    </w:lvl>
    <w:lvl w:ilvl="6" w:tentative="0">
      <w:start w:val="5888"/>
      <w:numFmt w:val="decimal"/>
      <w:lvlText w:val=""/>
      <w:lvlJc w:val="left"/>
    </w:lvl>
    <w:lvl w:ilvl="7" w:tentative="0">
      <w:start w:val="5888"/>
      <w:numFmt w:val="decimal"/>
      <w:lvlText w:val=""/>
      <w:lvlJc w:val="left"/>
    </w:lvl>
    <w:lvl w:ilvl="8" w:tentative="0">
      <w:start w:val="5888"/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582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2018-12-04T06:26:00Z</dcterms:created>
  <dc:creator>shef</dc:creator>
  <cp:lastModifiedBy>shef</cp:lastModifiedBy>
  <dcterms:modified xsi:type="dcterms:W3CDTF">2018-12-04T06:35:59Z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