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90" w:rsidRPr="00213990" w:rsidRDefault="00213990" w:rsidP="00213990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Рибалко Л.М.</w:t>
      </w:r>
      <w:r w:rsidRPr="00213990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фахових </w:t>
      </w:r>
      <w:proofErr w:type="spellStart"/>
      <w:r w:rsidRPr="00213990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13990">
        <w:rPr>
          <w:rFonts w:ascii="Times New Roman" w:hAnsi="Times New Roman" w:cs="Times New Roman"/>
          <w:sz w:val="28"/>
          <w:szCs w:val="28"/>
          <w:lang w:val="uk-UA"/>
        </w:rPr>
        <w:t xml:space="preserve"> у здобувачів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Л.М. Рибалко, Т.Ю.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2139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990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213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99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13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990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213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990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2139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3990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213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990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213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990">
        <w:rPr>
          <w:rFonts w:ascii="Times New Roman" w:hAnsi="Times New Roman" w:cs="Times New Roman"/>
          <w:sz w:val="28"/>
          <w:szCs w:val="28"/>
        </w:rPr>
        <w:t>професіоналізм</w:t>
      </w:r>
      <w:proofErr w:type="spellEnd"/>
      <w:r w:rsidRPr="002139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: </w:t>
      </w:r>
      <w:r w:rsidRPr="00213990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V Всеукраїнської викладацько-студентської </w:t>
      </w:r>
      <w:proofErr w:type="spellStart"/>
      <w:r w:rsidRPr="00213990">
        <w:rPr>
          <w:rFonts w:ascii="Times New Roman" w:hAnsi="Times New Roman" w:cs="Times New Roman"/>
          <w:sz w:val="28"/>
          <w:szCs w:val="28"/>
          <w:lang w:val="uk-UA"/>
        </w:rPr>
        <w:t>наук.-практ</w:t>
      </w:r>
      <w:proofErr w:type="spellEnd"/>
      <w:r w:rsidRPr="00213990">
        <w:rPr>
          <w:rFonts w:ascii="Times New Roman" w:hAnsi="Times New Roman" w:cs="Times New Roman"/>
          <w:sz w:val="28"/>
          <w:szCs w:val="28"/>
          <w:lang w:val="uk-UA"/>
        </w:rPr>
        <w:t xml:space="preserve">. конференції, м. Кременчук, 13 березня 2020 р. – Кременчук: Кременчуцький педагогічний коледж імені А.С. Макаренка, 2020. – С. 37-42. </w:t>
      </w:r>
      <w:bookmarkStart w:id="0" w:name="_GoBack"/>
      <w:bookmarkEnd w:id="0"/>
    </w:p>
    <w:p w:rsidR="00DC7B68" w:rsidRDefault="00DC7B68" w:rsidP="00DC7B68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C7B68" w:rsidRDefault="00DC7B68" w:rsidP="00DC7B68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Рибалко Л. М.,</w:t>
      </w:r>
    </w:p>
    <w:p w:rsidR="00DC7B68" w:rsidRDefault="00DC7B68" w:rsidP="00DC7B6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доктор педагогічних наук, </w:t>
      </w:r>
    </w:p>
    <w:p w:rsidR="00DC7B68" w:rsidRDefault="00DC7B68" w:rsidP="00DC7B6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старший науковий співробітник,</w:t>
      </w:r>
    </w:p>
    <w:p w:rsidR="00DC7B68" w:rsidRDefault="00DC7B68" w:rsidP="00DC7B6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завідувач кафедри фізичної культури та спорту</w:t>
      </w:r>
    </w:p>
    <w:p w:rsidR="00DC7B68" w:rsidRDefault="00DC7B68" w:rsidP="00DC7B6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Національний університет </w:t>
      </w:r>
    </w:p>
    <w:p w:rsidR="00DC7B68" w:rsidRDefault="00DC7B68" w:rsidP="00DC7B6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«Полтавська політехніка </w:t>
      </w:r>
    </w:p>
    <w:p w:rsidR="00DC7B68" w:rsidRDefault="00DC7B68" w:rsidP="00DC7B6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Імені Юрія Кондратюка»</w:t>
      </w:r>
    </w:p>
    <w:p w:rsidR="00DC7B68" w:rsidRDefault="00DC7B68" w:rsidP="00DC7B6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м. Полтава</w:t>
      </w:r>
    </w:p>
    <w:p w:rsidR="00DC7B68" w:rsidRDefault="00DC7B68" w:rsidP="00DC7B6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DC7B68" w:rsidRDefault="00DC7B68" w:rsidP="00DC7B68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Гулько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Т.Ю.,</w:t>
      </w:r>
    </w:p>
    <w:p w:rsidR="00DC7B68" w:rsidRDefault="00DC7B68" w:rsidP="00DC7B6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викладач відділення юридичних дисциплін</w:t>
      </w:r>
    </w:p>
    <w:p w:rsidR="00DC7B68" w:rsidRDefault="00DC7B68" w:rsidP="00DC7B6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Коледж управління, економіки і права ПДАА </w:t>
      </w:r>
    </w:p>
    <w:p w:rsidR="00DC7B68" w:rsidRDefault="00DC7B68" w:rsidP="00DC7B6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м. Полтава</w:t>
      </w:r>
    </w:p>
    <w:p w:rsidR="00DC7B68" w:rsidRPr="00DC7B68" w:rsidRDefault="00DC7B68" w:rsidP="00DC7B68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DC7B68" w:rsidRPr="00DC7B68" w:rsidRDefault="00DC7B68" w:rsidP="006A730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7B68">
        <w:rPr>
          <w:rFonts w:ascii="Times New Roman" w:hAnsi="Times New Roman"/>
          <w:b/>
          <w:sz w:val="28"/>
          <w:szCs w:val="28"/>
          <w:lang w:val="uk-UA"/>
        </w:rPr>
        <w:t xml:space="preserve">ФОРМУВАННЯ ФАХОВИХ КОМПЕТЕНТНОСТЕЙ </w:t>
      </w:r>
    </w:p>
    <w:p w:rsidR="00DC7B68" w:rsidRPr="00DC7B68" w:rsidRDefault="00DC7B68" w:rsidP="006A730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7B68">
        <w:rPr>
          <w:rFonts w:ascii="Times New Roman" w:hAnsi="Times New Roman"/>
          <w:b/>
          <w:sz w:val="28"/>
          <w:szCs w:val="28"/>
          <w:lang w:val="uk-UA"/>
        </w:rPr>
        <w:t>У ЗДОБУВАЧІВ ВИЩОЇ ОСВІТИ</w:t>
      </w:r>
    </w:p>
    <w:p w:rsidR="00DC7B68" w:rsidRDefault="00DC7B68" w:rsidP="006A730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13990" w:rsidRDefault="00213990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>Аннотація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. У статті розкрито особливості формування фахових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>компететностей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у здобувачів вищої освіти. Акцентовано увагу на формуванні фахових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>компетентностей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здобувачів спеціальності 017 «Фізична культура і спорт». Подано результати навчання бакалаврів і магістрів цієї спеціальності.</w:t>
      </w:r>
    </w:p>
    <w:p w:rsidR="00213990" w:rsidRDefault="00213990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>Ключові слова: фахові компетентності, вища освіта фізична культура, спорт.</w:t>
      </w:r>
    </w:p>
    <w:p w:rsidR="00213990" w:rsidRPr="00213990" w:rsidRDefault="00213990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</w:p>
    <w:p w:rsidR="006568F3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Нинішній стан суспільно-економічного розвитку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країни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скеровує сучасну освіту на формування і розвиток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суб’єктів освітнього процесу. Адже, суспільство потребує компетентних фахівців у відповідних сферах діяльності, конкурентоспроможних на ринку праці. Необхідність постає 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реалізації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освітн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ій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практи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ці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компетентнісного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підходу, що означає спрямованість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освітнього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процесу на досягнення результатів навчання, якими є ієрархічно підпорядковані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загальні та фахові (професійні)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компетентності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здобувачів вищої освіти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що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передбачають опис очікуваних результатів навчання у показниках (індикаторах)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критеріїв оцінювання досягнутих результатів як складників сформованої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ей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16F9B">
        <w:rPr>
          <w:rFonts w:ascii="Times New Roman" w:hAnsi="Times New Roman" w:cs="Times New Roman"/>
          <w:sz w:val="28"/>
          <w:szCs w:val="28"/>
          <w:lang w:val="uk-UA" w:eastAsia="ru-RU"/>
        </w:rPr>
        <w:t>Саме тому актуальною залишається п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роблема реалізації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компетентнісного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підходу в освіті. </w:t>
      </w:r>
    </w:p>
    <w:p w:rsidR="006568F3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методологічному рівні </w:t>
      </w:r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теоретичні основи </w:t>
      </w:r>
      <w:proofErr w:type="spellStart"/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>компетентнісного</w:t>
      </w:r>
      <w:proofErr w:type="spellEnd"/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підходу в освіті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розробляли Н.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Бібік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О. Локшина, О.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Овчарук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О.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Пометун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Л. Рибалко, С.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Трубачева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О. Топу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зов та ін. Теорію і практику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компетентнісного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підходу у навчанні </w:t>
      </w:r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>дисциплін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освітньої галузі «Суспільствознавство» досліджували Т.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Смагіна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І.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Смагін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Г.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Фрейман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у навчанні правознавства – С.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Нетьосов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О. </w:t>
      </w:r>
      <w:proofErr w:type="spellStart"/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>Пишко</w:t>
      </w:r>
      <w:proofErr w:type="spellEnd"/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Т. </w:t>
      </w:r>
      <w:proofErr w:type="spellStart"/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>Ремех</w:t>
      </w:r>
      <w:proofErr w:type="spellEnd"/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О. </w:t>
      </w:r>
      <w:proofErr w:type="spellStart"/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>Святокум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Упровадження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компетентнісного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підходу в професійній підготовці майбутніх фахівців з фізичної культури і спорту </w:t>
      </w:r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>досліджували Л.М. Рибалко, Б.М. Шиян, С.В. Гаркуша, Б.П. Лісовський та ін.</w:t>
      </w:r>
    </w:p>
    <w:p w:rsidR="00713D54" w:rsidRPr="00713D54" w:rsidRDefault="006568F3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Компететнісний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підхід в освіті </w:t>
      </w:r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обумовлює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студентоцентричний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напрям в навчанні, який є прямо протилежним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предметоцентричному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вузько дисциплінарному, </w:t>
      </w:r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основу якого покладені чітко визначені результати навчання та відповідні компетентності [1; 2; </w:t>
      </w:r>
      <w:r w:rsidR="00BF3B40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].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Навчання на засадах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компетентнісного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підходу орієнтоване на студента (орієнтація на вихід</w:t>
      </w:r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- результат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), в основі якого є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компетентнісна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модель фахівця (профіль), створена за найактивнішої участі, поряд із викладачами, роботодавців, випускників, професійних організацій тощо. </w:t>
      </w:r>
    </w:p>
    <w:p w:rsidR="006568F3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Концепція </w:t>
      </w:r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формування фахових </w:t>
      </w:r>
      <w:proofErr w:type="spellStart"/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>компететностей</w:t>
      </w:r>
      <w:proofErr w:type="spellEnd"/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суб’єктів освітнього процесу 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утвердилася в навчальних закладах США з другої половини ХХ століття. Сучасного розмаху </w:t>
      </w:r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ця 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концепція досягла після 2000 р. у зв’язку з розвитком Болонського процесу. Важливим внеском в її імплементацію стали матеріали міжнародного проекту «Гармонізація освітніх структур в Європі»,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Тюнінг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Tuning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educational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structures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in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Europe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TUNING), який ініційований 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європейськими університетами (координатором проекту є Університет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Деусто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, Іспанія) за активної підтримки Європейської Комісії з метою поєднання політичних цілей Болонського процесу та Лісабонської стратегії реформування європейського освітнього простору [</w:t>
      </w:r>
      <w:r w:rsidR="00BF3B40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]. 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Основними стратегічними напрямами </w:t>
      </w:r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розвитку вітчизняної освіти в аспекті формування фахових </w:t>
      </w:r>
      <w:proofErr w:type="spellStart"/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="006568F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здобувачів вищої освіти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є [2]: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Визначення переліку основних загальних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, які характеризують універсальні навички та вміння студентів, формою представлення яких є здатності.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Розроблення переліків основних фахових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межах виділених предметних галузей.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3. Визнання ролі Європейської кредитно-трансферної системи та перетворення її у Європейську кредитну трансферно-накопичувальну систему.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4. Упровадження інноваційних підходів до навчання, викладання та оцінювання.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5. Забезпечення якості освіти в освітньому процесі.</w:t>
      </w:r>
      <w:r w:rsidRPr="00713D54">
        <w:rPr>
          <w:rFonts w:ascii="Times New Roman" w:hAnsi="Times New Roman" w:cs="Times New Roman"/>
          <w:lang w:val="uk-UA"/>
        </w:rPr>
        <w:t xml:space="preserve"> 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Основними категоріями навчання на засадах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компетентнісного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підходу є компетентності та результати навчання, які на сьогодні є ключовими у Європейському просторі вищої освіти. 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Компетентності розглядаються як динамічне поєднання знань, навичок, умінь і здатностей [</w:t>
      </w:r>
      <w:r w:rsidR="00BF3B40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с. 27]. Формування в свідомості студентів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є метою освітньо-професійних програм. 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Компетентності формуються з різних навчальних дисциплінах і оцінюються на різних етапах.</w:t>
      </w:r>
      <w:r w:rsidRPr="00713D54">
        <w:rPr>
          <w:rFonts w:ascii="Times New Roman" w:hAnsi="Times New Roman" w:cs="Times New Roman"/>
          <w:lang w:val="uk-UA"/>
        </w:rPr>
        <w:t xml:space="preserve"> 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Їх особливістю є те, що вони набуваються поступово, формуються цілою низкою навчальних дисциплін або модулів на різних етапах даної програми, і навіть можуть починати формуватися в рамках програми одного рівня вищої освіти, а закінчувати формування на іншому, вищому рівні [</w:t>
      </w:r>
      <w:r w:rsidR="00BF3B40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, с. 56].</w:t>
      </w:r>
      <w:r w:rsidRPr="00713D54">
        <w:rPr>
          <w:rFonts w:ascii="Times New Roman" w:hAnsi="Times New Roman" w:cs="Times New Roman"/>
          <w:lang w:val="uk-UA"/>
        </w:rPr>
        <w:t xml:space="preserve"> 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Під результатами навчання розуміється інтегральний показник того, що повинен знати та розуміти студент, бути здатним продемонструвати вміння та 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навички після завершення навчання. Результати навчання можна відносити до окремого модуля або також до періоду навчання (освітньої програми першого, другого чи третього циклів). Адже вони визначають вимоги до присудження кредитів [1, с. 59].</w:t>
      </w:r>
      <w:r w:rsidRPr="00713D54">
        <w:rPr>
          <w:rFonts w:ascii="Times New Roman" w:hAnsi="Times New Roman" w:cs="Times New Roman"/>
          <w:lang w:val="uk-UA"/>
        </w:rPr>
        <w:t xml:space="preserve"> 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lang w:val="uk-UA" w:eastAsia="en-GB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Отже, в основу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студентоцентричного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навчання покладено ідею максимального забезпечення студентам шансів отримати перше місце роботи на ринку праці, підвищення їхньої «вартості» у роботодавців (придатності до працевлаштування), задоволення тим самим актуальних потреб останніх. Саме тому не може бути жодного протиставлення результатів навчання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компетентностям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адже між ними є глибока діалектична єдність: інтеграція результатів навчання в їх динамічному поєднанні приводить до набуття особами, які навчаються, відповідних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; тоді як оволодіння певною компетентністю вимагає засвоєння конкретних знань, умінь, навичок, тобто результатів навчання.</w:t>
      </w:r>
      <w:r w:rsidRPr="00713D54">
        <w:rPr>
          <w:rFonts w:ascii="Times New Roman" w:hAnsi="Times New Roman" w:cs="Times New Roman"/>
          <w:lang w:val="uk-UA"/>
        </w:rPr>
        <w:t xml:space="preserve"> 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Загальноприйнятим є поділ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дві групи: предметно-спеціальні (фахові) компетентності (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subject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specific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competences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) та загальні компетентності (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generic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competences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transferable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skills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). Згідно з міжнародним проектом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Тюнінг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Tuning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educational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structures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in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Europe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, TUNING) перші</w:t>
      </w:r>
      <w:r w:rsidRPr="00713D54">
        <w:rPr>
          <w:rFonts w:ascii="Times New Roman" w:hAnsi="Times New Roman" w:cs="Times New Roman"/>
          <w:lang w:val="uk-UA"/>
        </w:rPr>
        <w:t xml:space="preserve"> 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залежать від предметної галузі й визначають профіль освітньої програми та кваліфікацію випускника (вони роблять кожну освітню програму індивідуальною) [</w:t>
      </w:r>
      <w:r w:rsidR="00BF3B40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с. 15]. Загальними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компетентностями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студент оволодіває в процесі виконання даної освітньої програми, але вони носять універсальний, не прив’язаний до предметної галузі характер. 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Прикладами </w:t>
      </w:r>
      <w:r w:rsid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формування 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загальних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F3C47">
        <w:rPr>
          <w:rFonts w:ascii="Times New Roman" w:hAnsi="Times New Roman" w:cs="Times New Roman"/>
          <w:sz w:val="28"/>
          <w:szCs w:val="28"/>
          <w:lang w:val="uk-UA" w:eastAsia="ru-RU"/>
        </w:rPr>
        <w:t>для здобувачів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вищої освіти 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є: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 w:rsidRPr="00713D54">
        <w:rPr>
          <w:rFonts w:ascii="Times New Roman" w:hAnsi="Times New Roman" w:cs="Times New Roman"/>
          <w:sz w:val="28"/>
          <w:szCs w:val="28"/>
          <w:lang w:val="uk-UA"/>
        </w:rPr>
        <w:t>– здатність вчитися та оволодівати сучасними знаннями;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D54">
        <w:rPr>
          <w:rFonts w:ascii="Times New Roman" w:hAnsi="Times New Roman" w:cs="Times New Roman"/>
          <w:sz w:val="28"/>
          <w:szCs w:val="28"/>
          <w:lang w:val="uk-UA"/>
        </w:rPr>
        <w:t>– здатність реалізовувати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Україні;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D54">
        <w:rPr>
          <w:rFonts w:ascii="Times New Roman" w:hAnsi="Times New Roman" w:cs="Times New Roman"/>
          <w:sz w:val="28"/>
          <w:szCs w:val="28"/>
          <w:lang w:val="uk-UA"/>
        </w:rPr>
        <w:lastRenderedPageBreak/>
        <w:t>– здатність зберігати та примножувати моральні, культурні, наукові цінності і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технологій;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D54">
        <w:rPr>
          <w:rFonts w:ascii="Times New Roman" w:hAnsi="Times New Roman" w:cs="Times New Roman"/>
          <w:sz w:val="28"/>
          <w:szCs w:val="28"/>
          <w:lang w:val="uk-UA"/>
        </w:rPr>
        <w:t>– здатність працювати в команді;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D54">
        <w:rPr>
          <w:rFonts w:ascii="Times New Roman" w:hAnsi="Times New Roman" w:cs="Times New Roman"/>
          <w:sz w:val="28"/>
          <w:szCs w:val="28"/>
          <w:lang w:val="uk-UA"/>
        </w:rPr>
        <w:t>– здатність планувати та управляти часом;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D54">
        <w:rPr>
          <w:rFonts w:ascii="Times New Roman" w:hAnsi="Times New Roman" w:cs="Times New Roman"/>
          <w:sz w:val="28"/>
          <w:szCs w:val="28"/>
          <w:lang w:val="uk-UA"/>
        </w:rPr>
        <w:t>– здатність спілкуватися державною мовою як усно, так і письмово;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D54">
        <w:rPr>
          <w:rFonts w:ascii="Times New Roman" w:hAnsi="Times New Roman" w:cs="Times New Roman"/>
          <w:sz w:val="28"/>
          <w:szCs w:val="28"/>
          <w:lang w:val="uk-UA"/>
        </w:rPr>
        <w:t>– здатність спілкуватися іноземною мовою;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D54">
        <w:rPr>
          <w:rFonts w:ascii="Times New Roman" w:hAnsi="Times New Roman" w:cs="Times New Roman"/>
          <w:sz w:val="28"/>
          <w:szCs w:val="28"/>
          <w:lang w:val="uk-UA"/>
        </w:rPr>
        <w:t>– навички використання інформаційних і комунікаційних технологій;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D54">
        <w:rPr>
          <w:rFonts w:ascii="Times New Roman" w:hAnsi="Times New Roman" w:cs="Times New Roman"/>
          <w:sz w:val="28"/>
          <w:szCs w:val="28"/>
          <w:lang w:val="uk-UA"/>
        </w:rPr>
        <w:t>– навички міжособистісної взаємодії;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D54">
        <w:rPr>
          <w:rFonts w:ascii="Times New Roman" w:hAnsi="Times New Roman" w:cs="Times New Roman"/>
          <w:sz w:val="28"/>
          <w:szCs w:val="28"/>
          <w:lang w:val="uk-UA"/>
        </w:rPr>
        <w:t>– здатність бути критичним і самокритичним;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D54">
        <w:rPr>
          <w:rFonts w:ascii="Times New Roman" w:hAnsi="Times New Roman" w:cs="Times New Roman"/>
          <w:sz w:val="28"/>
          <w:szCs w:val="28"/>
          <w:lang w:val="uk-UA"/>
        </w:rPr>
        <w:t>– здатність діяти на основі етичних міркувань (мотивів);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/>
        </w:rPr>
        <w:t>– здатність застосовувати знання у практичних ситуаціях.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Загальні компетентності відповідають фаховим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компетентностям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. При розробленні освітньо-професійних програм їх розвиток обов’язково повинен бути запланований.</w:t>
      </w:r>
    </w:p>
    <w:p w:rsidR="00713D54" w:rsidRPr="00713D54" w:rsidRDefault="008F3C47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Враховуючи те</w:t>
      </w:r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 </w:t>
      </w:r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результати навчання – сукупність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, що визначають знання, розуміння, уміння, цінності, інші особистісні якості, яких набув студент після завершення освітньої програми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то р</w:t>
      </w:r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озробляючи освітн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ьо-професійну </w:t>
      </w:r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програму підготовки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здобувачів необхідно керуватися при 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формулюва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нні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результат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навчання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положеннями</w:t>
      </w:r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щоб можна було однозначно визначити факт та якість їх досягнення студентами. Адже результати навчання тісно пов’язані з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компетентностями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F3C47" w:rsidRPr="008F3C47" w:rsidRDefault="008F3C47" w:rsidP="008F3C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Під час дослідження виокремлюємо такі складники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фахової</w:t>
      </w:r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компетентності</w:t>
      </w:r>
      <w:r w:rsidR="00FC38C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такі</w:t>
      </w:r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як: </w:t>
      </w:r>
    </w:p>
    <w:p w:rsidR="008F3C47" w:rsidRPr="008F3C47" w:rsidRDefault="008F3C47" w:rsidP="008F3C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>• когнітивний (знання та розуміння основних понять, категорій, термінів, принципів</w:t>
      </w:r>
      <w:r w:rsidR="00FC38C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навчальних дисциплін відповідної спеціальності</w:t>
      </w:r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); </w:t>
      </w:r>
    </w:p>
    <w:p w:rsidR="008F3C47" w:rsidRPr="008F3C47" w:rsidRDefault="008F3C47" w:rsidP="008F3C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• </w:t>
      </w:r>
      <w:proofErr w:type="spellStart"/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>діяльнісно-процесуальний</w:t>
      </w:r>
      <w:proofErr w:type="spellEnd"/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(уміння застосовувати знання з </w:t>
      </w:r>
      <w:r w:rsidR="00BF3B40">
        <w:rPr>
          <w:rFonts w:ascii="Times New Roman" w:hAnsi="Times New Roman" w:cs="Times New Roman"/>
          <w:sz w:val="28"/>
          <w:szCs w:val="28"/>
          <w:lang w:val="uk-UA" w:eastAsia="ru-RU"/>
        </w:rPr>
        <w:t>навчальних дисциплін на практиці та під час освітнього процесу</w:t>
      </w:r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свідомо обирати способи </w:t>
      </w:r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дії та поведінки й діяти відповідально; брати участь в діяльності студентського самоврядування, волонтерській діяльності в громаді, реалізувати демократичні процедури ухвалення рішень; залучатися до колективної діяльності (співпраці в команді, соціальному проекті), оцінювати її результати; критично сприймати інформацію, досліджувати та застосовувати її; формулювати, висловлювати та аргументувати власну позицію; брати участь у дискусіях); </w:t>
      </w:r>
    </w:p>
    <w:p w:rsidR="008F3C47" w:rsidRPr="008F3C47" w:rsidRDefault="008F3C47" w:rsidP="008F3C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>• ціннісний (позитивне ставлення до прав людини і громадянина, відповідні ціннісні орієнтації та установки; прояви в поведінці відчуття власної гідності, шанування прав людини та свободи особистості, повага до закону; свідоме ставлення до обов’язків і відповідальність за власні вчинки й поведінку; повага до людської гідності та прав інших; прагнення до справедливості, рівноправ’я; розуміння світу як багатоманітного; толерантність)</w:t>
      </w:r>
      <w:r w:rsid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[3, с. 115]</w:t>
      </w:r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F3C47" w:rsidRPr="008F3C47" w:rsidRDefault="008F3C47" w:rsidP="008F3C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Отже, </w:t>
      </w:r>
      <w:r w:rsidR="00BF3B40">
        <w:rPr>
          <w:rFonts w:ascii="Times New Roman" w:hAnsi="Times New Roman" w:cs="Times New Roman"/>
          <w:sz w:val="28"/>
          <w:szCs w:val="28"/>
          <w:lang w:val="uk-UA" w:eastAsia="ru-RU"/>
        </w:rPr>
        <w:t>фахова</w:t>
      </w:r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компетентність – це сукупність систематизованих знань про </w:t>
      </w:r>
      <w:r w:rsidR="00BF3B40">
        <w:rPr>
          <w:rFonts w:ascii="Times New Roman" w:hAnsi="Times New Roman" w:cs="Times New Roman"/>
          <w:sz w:val="28"/>
          <w:szCs w:val="28"/>
          <w:lang w:val="uk-UA" w:eastAsia="ru-RU"/>
        </w:rPr>
        <w:t>галузь фахових знань</w:t>
      </w:r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вмінь їх використовувати у типових і нестандартних ситуаціях, обирати адекватні моделі поведінки, керуватися в своєму житті та діяльності принципами, поваги до прав і свобод людини тощо. Водночас, вони інтегрують ці елементи у різні структурні компоненти. Складовими </w:t>
      </w:r>
      <w:r w:rsidR="00BF3B40">
        <w:rPr>
          <w:rFonts w:ascii="Times New Roman" w:hAnsi="Times New Roman" w:cs="Times New Roman"/>
          <w:sz w:val="28"/>
          <w:szCs w:val="28"/>
          <w:lang w:val="uk-UA" w:eastAsia="ru-RU"/>
        </w:rPr>
        <w:t>фахової</w:t>
      </w:r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компетентність визначаємо: когнітивний, </w:t>
      </w:r>
      <w:proofErr w:type="spellStart"/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>діяльнісно-процесуальний</w:t>
      </w:r>
      <w:proofErr w:type="spellEnd"/>
      <w:r w:rsidRPr="008F3C4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ціннісно-мотиваційний (аксіологічний) компоненти. У системних взаємозв’язках вони забезпечують здатність особистості діяти на основі здобутих знань, реалізувати активну правомірну поведінку. </w:t>
      </w:r>
    </w:p>
    <w:p w:rsidR="00713D54" w:rsidRPr="00713D54" w:rsidRDefault="00713D54" w:rsidP="00713D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en-GB"/>
        </w:rPr>
      </w:pPr>
    </w:p>
    <w:p w:rsidR="00713D54" w:rsidRPr="00713D54" w:rsidRDefault="00713D54" w:rsidP="00713D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713D5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Список літератури</w:t>
      </w:r>
    </w:p>
    <w:p w:rsidR="00713D54" w:rsidRP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 Рашкевич Ю.М. Болонський процес та нова парадигма вищої освіти: </w:t>
      </w:r>
      <w:r w:rsidRPr="00713D54">
        <w:rPr>
          <w:rFonts w:ascii="Times New Roman" w:hAnsi="Times New Roman" w:cs="Times New Roman"/>
          <w:i/>
          <w:sz w:val="28"/>
          <w:szCs w:val="28"/>
          <w:lang w:val="uk-UA" w:eastAsia="ru-RU"/>
        </w:rPr>
        <w:t>монографія</w:t>
      </w: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. Львів: Вид-во Львівської політехніки, 2014. 168 с.</w:t>
      </w:r>
    </w:p>
    <w:p w:rsidR="00713D54" w:rsidRDefault="00713D54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 Розроблення освітніх програм. Методичні рекомендації / Авт.: В.М.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Захарченко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В.І. Луговий, Ю.М.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Рашкевич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Ж.В. </w:t>
      </w:r>
      <w:proofErr w:type="spellStart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>Таланова</w:t>
      </w:r>
      <w:proofErr w:type="spellEnd"/>
      <w:r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/ За ред. В.Г. Кременя. К. : ДП «НВЦ «Пріоритети », 2014. 120 с.</w:t>
      </w:r>
    </w:p>
    <w:p w:rsidR="00BF3B40" w:rsidRPr="00BF3B40" w:rsidRDefault="00BF3B40" w:rsidP="00BF3B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3. 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Lavrentieva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L.O.,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Rybalko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L.M.,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Lakomova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O.O.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Implementation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dual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system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vocational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education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history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trends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perspectives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The actual problems of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world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today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collective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monograph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London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United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Kingdom</w:t>
      </w:r>
      <w:proofErr w:type="spellEnd"/>
      <w:r w:rsidRPr="00BF3B40">
        <w:rPr>
          <w:rFonts w:ascii="Times New Roman" w:hAnsi="Times New Roman" w:cs="Times New Roman"/>
          <w:sz w:val="28"/>
          <w:szCs w:val="28"/>
          <w:lang w:val="uk-UA" w:eastAsia="ru-RU"/>
        </w:rPr>
        <w:t>, 2019. p. 114-124.</w:t>
      </w:r>
    </w:p>
    <w:p w:rsidR="00713D54" w:rsidRPr="00713D54" w:rsidRDefault="00BF3B40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 ECTS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Users’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Guide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–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European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Communities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6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February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2009. [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Electronic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resource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]. – URL: ec.europa.eu/education/lifelong-learning-policy/doc/ects/guide_en.pdf.</w:t>
      </w:r>
    </w:p>
    <w:p w:rsidR="00713D54" w:rsidRPr="00713D54" w:rsidRDefault="00BF3B40" w:rsidP="00713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. 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Tuning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educational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structures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in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Europe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, TUNING. [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Electronic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resource</w:t>
      </w:r>
      <w:proofErr w:type="spellEnd"/>
      <w:r w:rsidR="00713D54" w:rsidRPr="00713D54">
        <w:rPr>
          <w:rFonts w:ascii="Times New Roman" w:hAnsi="Times New Roman" w:cs="Times New Roman"/>
          <w:sz w:val="28"/>
          <w:szCs w:val="28"/>
          <w:lang w:val="uk-UA" w:eastAsia="ru-RU"/>
        </w:rPr>
        <w:t>] – URL: www.unideusto.org/tuningeu.</w:t>
      </w:r>
    </w:p>
    <w:p w:rsidR="00713D54" w:rsidRDefault="00713D54" w:rsidP="00713D54">
      <w:pPr>
        <w:spacing w:line="360" w:lineRule="auto"/>
        <w:ind w:firstLine="387"/>
        <w:jc w:val="center"/>
        <w:rPr>
          <w:noProof/>
          <w:sz w:val="28"/>
          <w:szCs w:val="28"/>
          <w:lang w:val="uk-UA" w:eastAsia="en-GB"/>
        </w:rPr>
      </w:pPr>
      <w:r>
        <w:rPr>
          <w:noProof/>
          <w:sz w:val="28"/>
          <w:szCs w:val="28"/>
          <w:lang w:val="uk-UA"/>
        </w:rPr>
        <w:t xml:space="preserve"> </w:t>
      </w:r>
    </w:p>
    <w:p w:rsidR="00713D54" w:rsidRPr="00DC7B68" w:rsidRDefault="00713D54" w:rsidP="006A730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713D54" w:rsidRPr="00DC7B68" w:rsidSect="00DC7B68">
      <w:pgSz w:w="11907" w:h="16840"/>
      <w:pgMar w:top="1134" w:right="1134" w:bottom="1134" w:left="1134" w:header="720" w:footer="720" w:gutter="5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12"/>
    <w:rsid w:val="00055F1F"/>
    <w:rsid w:val="000D658C"/>
    <w:rsid w:val="00121BCC"/>
    <w:rsid w:val="00213990"/>
    <w:rsid w:val="00261C1E"/>
    <w:rsid w:val="002F5CC7"/>
    <w:rsid w:val="00320067"/>
    <w:rsid w:val="0036667B"/>
    <w:rsid w:val="003B6B01"/>
    <w:rsid w:val="003B795F"/>
    <w:rsid w:val="003C6012"/>
    <w:rsid w:val="003F20E0"/>
    <w:rsid w:val="00417FFB"/>
    <w:rsid w:val="00451958"/>
    <w:rsid w:val="004B0E5D"/>
    <w:rsid w:val="004F67A5"/>
    <w:rsid w:val="00510CF9"/>
    <w:rsid w:val="00556DAB"/>
    <w:rsid w:val="005C0124"/>
    <w:rsid w:val="005C7333"/>
    <w:rsid w:val="005E3A18"/>
    <w:rsid w:val="006164D9"/>
    <w:rsid w:val="00644A23"/>
    <w:rsid w:val="00645B20"/>
    <w:rsid w:val="0065365C"/>
    <w:rsid w:val="006568F3"/>
    <w:rsid w:val="00684A48"/>
    <w:rsid w:val="006964B5"/>
    <w:rsid w:val="006A7308"/>
    <w:rsid w:val="006D7410"/>
    <w:rsid w:val="00713D54"/>
    <w:rsid w:val="00726E65"/>
    <w:rsid w:val="00770080"/>
    <w:rsid w:val="00775DF2"/>
    <w:rsid w:val="00792773"/>
    <w:rsid w:val="00814A82"/>
    <w:rsid w:val="00830B8B"/>
    <w:rsid w:val="00874BF8"/>
    <w:rsid w:val="00876945"/>
    <w:rsid w:val="00890003"/>
    <w:rsid w:val="008C3112"/>
    <w:rsid w:val="008D4E8F"/>
    <w:rsid w:val="008F3C47"/>
    <w:rsid w:val="0091774A"/>
    <w:rsid w:val="009406AC"/>
    <w:rsid w:val="00984336"/>
    <w:rsid w:val="00B13F85"/>
    <w:rsid w:val="00B16F9B"/>
    <w:rsid w:val="00B712FE"/>
    <w:rsid w:val="00B845ED"/>
    <w:rsid w:val="00B965F9"/>
    <w:rsid w:val="00BD7883"/>
    <w:rsid w:val="00BF3B40"/>
    <w:rsid w:val="00BF5AA8"/>
    <w:rsid w:val="00CB09E6"/>
    <w:rsid w:val="00D15BD0"/>
    <w:rsid w:val="00D254C3"/>
    <w:rsid w:val="00D33EB3"/>
    <w:rsid w:val="00D63DF9"/>
    <w:rsid w:val="00DC2892"/>
    <w:rsid w:val="00DC7B68"/>
    <w:rsid w:val="00E005AB"/>
    <w:rsid w:val="00F039EF"/>
    <w:rsid w:val="00F138D5"/>
    <w:rsid w:val="00F54638"/>
    <w:rsid w:val="00F5558E"/>
    <w:rsid w:val="00FA2E6B"/>
    <w:rsid w:val="00FB2271"/>
    <w:rsid w:val="00FC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12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lrdtytu-1">
    <w:name w:val="wl_śródtytuł-1"/>
    <w:basedOn w:val="a"/>
    <w:rsid w:val="008C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C3112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112"/>
    <w:rPr>
      <w:rFonts w:ascii="Tahoma" w:hAnsi="Tahoma" w:cs="Tahoma"/>
      <w:sz w:val="16"/>
      <w:szCs w:val="16"/>
    </w:rPr>
  </w:style>
  <w:style w:type="character" w:customStyle="1" w:styleId="blue">
    <w:name w:val="blue"/>
    <w:basedOn w:val="a0"/>
    <w:rsid w:val="00F5558E"/>
  </w:style>
  <w:style w:type="character" w:styleId="a7">
    <w:name w:val="Strong"/>
    <w:basedOn w:val="a0"/>
    <w:uiPriority w:val="22"/>
    <w:qFormat/>
    <w:rsid w:val="00F5558E"/>
    <w:rPr>
      <w:b/>
      <w:bCs/>
    </w:rPr>
  </w:style>
  <w:style w:type="paragraph" w:styleId="a8">
    <w:name w:val="List Paragraph"/>
    <w:basedOn w:val="a"/>
    <w:uiPriority w:val="34"/>
    <w:qFormat/>
    <w:rsid w:val="00770080"/>
    <w:pPr>
      <w:ind w:left="720"/>
      <w:contextualSpacing/>
    </w:pPr>
  </w:style>
  <w:style w:type="paragraph" w:styleId="1">
    <w:name w:val="toc 1"/>
    <w:basedOn w:val="a"/>
    <w:autoRedefine/>
    <w:unhideWhenUsed/>
    <w:rsid w:val="00D3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A7308"/>
    <w:rPr>
      <w:color w:val="0000FF" w:themeColor="hyperlink"/>
      <w:u w:val="single"/>
    </w:rPr>
  </w:style>
  <w:style w:type="paragraph" w:styleId="aa">
    <w:name w:val="Body Text Indent"/>
    <w:basedOn w:val="a"/>
    <w:link w:val="ab"/>
    <w:semiHidden/>
    <w:unhideWhenUsed/>
    <w:rsid w:val="00890003"/>
    <w:pPr>
      <w:spacing w:after="200" w:line="276" w:lineRule="auto"/>
      <w:ind w:left="-540" w:firstLine="540"/>
      <w:jc w:val="center"/>
    </w:pPr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ab">
    <w:name w:val="Основной текст с отступом Знак"/>
    <w:basedOn w:val="a0"/>
    <w:link w:val="aa"/>
    <w:semiHidden/>
    <w:rsid w:val="00890003"/>
    <w:rPr>
      <w:rFonts w:ascii="Calibri" w:eastAsia="Times New Roman" w:hAnsi="Calibri" w:cs="Times New Roman"/>
      <w:b/>
      <w:b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12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lrdtytu-1">
    <w:name w:val="wl_śródtytuł-1"/>
    <w:basedOn w:val="a"/>
    <w:rsid w:val="008C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C3112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112"/>
    <w:rPr>
      <w:rFonts w:ascii="Tahoma" w:hAnsi="Tahoma" w:cs="Tahoma"/>
      <w:sz w:val="16"/>
      <w:szCs w:val="16"/>
    </w:rPr>
  </w:style>
  <w:style w:type="character" w:customStyle="1" w:styleId="blue">
    <w:name w:val="blue"/>
    <w:basedOn w:val="a0"/>
    <w:rsid w:val="00F5558E"/>
  </w:style>
  <w:style w:type="character" w:styleId="a7">
    <w:name w:val="Strong"/>
    <w:basedOn w:val="a0"/>
    <w:uiPriority w:val="22"/>
    <w:qFormat/>
    <w:rsid w:val="00F5558E"/>
    <w:rPr>
      <w:b/>
      <w:bCs/>
    </w:rPr>
  </w:style>
  <w:style w:type="paragraph" w:styleId="a8">
    <w:name w:val="List Paragraph"/>
    <w:basedOn w:val="a"/>
    <w:uiPriority w:val="34"/>
    <w:qFormat/>
    <w:rsid w:val="00770080"/>
    <w:pPr>
      <w:ind w:left="720"/>
      <w:contextualSpacing/>
    </w:pPr>
  </w:style>
  <w:style w:type="paragraph" w:styleId="1">
    <w:name w:val="toc 1"/>
    <w:basedOn w:val="a"/>
    <w:autoRedefine/>
    <w:unhideWhenUsed/>
    <w:rsid w:val="00D3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A7308"/>
    <w:rPr>
      <w:color w:val="0000FF" w:themeColor="hyperlink"/>
      <w:u w:val="single"/>
    </w:rPr>
  </w:style>
  <w:style w:type="paragraph" w:styleId="aa">
    <w:name w:val="Body Text Indent"/>
    <w:basedOn w:val="a"/>
    <w:link w:val="ab"/>
    <w:semiHidden/>
    <w:unhideWhenUsed/>
    <w:rsid w:val="00890003"/>
    <w:pPr>
      <w:spacing w:after="200" w:line="276" w:lineRule="auto"/>
      <w:ind w:left="-540" w:firstLine="540"/>
      <w:jc w:val="center"/>
    </w:pPr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ab">
    <w:name w:val="Основной текст с отступом Знак"/>
    <w:basedOn w:val="a0"/>
    <w:link w:val="aa"/>
    <w:semiHidden/>
    <w:rsid w:val="00890003"/>
    <w:rPr>
      <w:rFonts w:ascii="Calibri" w:eastAsia="Times New Roman" w:hAnsi="Calibri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93099-0760-47EB-8FEB-7CD53808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2019-12-22T20:33:00Z</dcterms:created>
  <dcterms:modified xsi:type="dcterms:W3CDTF">2020-03-23T07:36:00Z</dcterms:modified>
</cp:coreProperties>
</file>