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C1FDB" w:rsidRPr="0088590F" w:rsidRDefault="005C1FDB" w:rsidP="0088590F">
      <w:pPr>
        <w:pStyle w:val="a3"/>
        <w:rPr>
          <w:rFonts w:ascii="Times New Roman" w:hAnsi="Times New Roman"/>
          <w:sz w:val="24"/>
          <w:szCs w:val="24"/>
          <w:lang w:val="uk-UA"/>
        </w:rPr>
      </w:pPr>
      <w:proofErr w:type="spellStart"/>
      <w:r w:rsidRPr="0088590F">
        <w:rPr>
          <w:rFonts w:ascii="Times New Roman" w:hAnsi="Times New Roman"/>
          <w:sz w:val="24"/>
          <w:szCs w:val="24"/>
          <w:lang w:val="uk-UA"/>
        </w:rPr>
        <w:t>Молнар</w:t>
      </w:r>
      <w:proofErr w:type="spellEnd"/>
      <w:r w:rsidRPr="0088590F">
        <w:rPr>
          <w:rFonts w:ascii="Times New Roman" w:hAnsi="Times New Roman"/>
          <w:sz w:val="24"/>
          <w:szCs w:val="24"/>
          <w:lang w:val="uk-UA"/>
        </w:rPr>
        <w:t xml:space="preserve"> М.В., </w:t>
      </w:r>
      <w:proofErr w:type="spellStart"/>
      <w:r w:rsidRPr="0088590F">
        <w:rPr>
          <w:rFonts w:ascii="Times New Roman" w:hAnsi="Times New Roman"/>
          <w:sz w:val="24"/>
          <w:szCs w:val="24"/>
          <w:lang w:val="uk-UA"/>
        </w:rPr>
        <w:t>Остапов</w:t>
      </w:r>
      <w:proofErr w:type="spellEnd"/>
      <w:r w:rsidRPr="0088590F">
        <w:rPr>
          <w:rFonts w:ascii="Times New Roman" w:hAnsi="Times New Roman"/>
          <w:sz w:val="24"/>
          <w:szCs w:val="24"/>
          <w:lang w:val="uk-UA"/>
        </w:rPr>
        <w:t xml:space="preserve"> А.В.</w:t>
      </w:r>
      <w:r w:rsidRPr="0088590F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88590F" w:rsidRPr="0088590F">
        <w:rPr>
          <w:rFonts w:ascii="Times New Roman" w:hAnsi="Times New Roman"/>
          <w:sz w:val="24"/>
          <w:szCs w:val="24"/>
          <w:lang w:val="uk-UA"/>
        </w:rPr>
        <w:t>Опти</w:t>
      </w:r>
      <w:bookmarkStart w:id="0" w:name="_GoBack"/>
      <w:bookmarkEnd w:id="0"/>
      <w:r w:rsidR="0088590F" w:rsidRPr="0088590F">
        <w:rPr>
          <w:rFonts w:ascii="Times New Roman" w:hAnsi="Times New Roman"/>
          <w:sz w:val="24"/>
          <w:szCs w:val="24"/>
          <w:lang w:val="uk-UA"/>
        </w:rPr>
        <w:t>мізація процесу техніко-тактичної підготовки (на прикладі волейболу)</w:t>
      </w:r>
      <w:r w:rsidRPr="0088590F">
        <w:rPr>
          <w:rFonts w:ascii="Times New Roman" w:hAnsi="Times New Roman"/>
          <w:sz w:val="24"/>
          <w:szCs w:val="24"/>
          <w:lang w:val="uk-UA"/>
        </w:rPr>
        <w:t xml:space="preserve">. </w:t>
      </w:r>
      <w:r w:rsidRPr="0088590F">
        <w:rPr>
          <w:rFonts w:ascii="Times New Roman" w:hAnsi="Times New Roman"/>
          <w:i/>
          <w:sz w:val="24"/>
          <w:szCs w:val="24"/>
          <w:lang w:val="uk-UA"/>
        </w:rPr>
        <w:t xml:space="preserve">Тези 72-ої наукової конференції професорів, викладачів, наукових працівників, аспірантів та студентів університету, </w:t>
      </w:r>
      <w:r w:rsidRPr="0088590F">
        <w:rPr>
          <w:rFonts w:ascii="Times New Roman" w:hAnsi="Times New Roman"/>
          <w:sz w:val="24"/>
          <w:szCs w:val="24"/>
          <w:lang w:val="uk-UA"/>
        </w:rPr>
        <w:t>присвяченої 90-річчю Національного університету «Полтавська політехніка імені Юрія Кондратюка». Том 2. (Полтава, 21 квітня – 15 травня 2020 р.) – Полтава: Національний університет імені Юрія Кондратюка, 2020. – С. 407-408.</w:t>
      </w:r>
    </w:p>
    <w:p w:rsidR="005C1FDB" w:rsidRDefault="005C1FDB" w:rsidP="005C1FDB">
      <w:pPr>
        <w:pStyle w:val="a3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5C1FDB" w:rsidRDefault="005C1FDB" w:rsidP="005C1FDB">
      <w:pPr>
        <w:pStyle w:val="a3"/>
        <w:jc w:val="right"/>
        <w:rPr>
          <w:rFonts w:ascii="Times New Roman" w:hAnsi="Times New Roman"/>
          <w:i/>
          <w:sz w:val="24"/>
          <w:szCs w:val="24"/>
          <w:lang w:val="uk-UA"/>
        </w:rPr>
      </w:pPr>
    </w:p>
    <w:p w:rsidR="005C1FDB" w:rsidRDefault="005C1FDB" w:rsidP="005C1FDB">
      <w:pPr>
        <w:pStyle w:val="a3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М.В.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Молнар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,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к.фізих.н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>, доцент</w:t>
      </w:r>
    </w:p>
    <w:p w:rsidR="005C1FDB" w:rsidRDefault="005C1FDB" w:rsidP="005C1FDB">
      <w:pPr>
        <w:pStyle w:val="a3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ДВНЗ «Ужгородський національний університет»;</w:t>
      </w:r>
    </w:p>
    <w:p w:rsidR="005C1FDB" w:rsidRDefault="005C1FDB" w:rsidP="005C1FDB">
      <w:pPr>
        <w:pStyle w:val="a3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 xml:space="preserve">А.В. </w:t>
      </w:r>
      <w:proofErr w:type="spellStart"/>
      <w:r>
        <w:rPr>
          <w:rFonts w:ascii="Times New Roman" w:hAnsi="Times New Roman"/>
          <w:i/>
          <w:sz w:val="24"/>
          <w:szCs w:val="24"/>
          <w:lang w:val="uk-UA"/>
        </w:rPr>
        <w:t>Остапов</w:t>
      </w:r>
      <w:proofErr w:type="spellEnd"/>
      <w:r>
        <w:rPr>
          <w:rFonts w:ascii="Times New Roman" w:hAnsi="Times New Roman"/>
          <w:i/>
          <w:sz w:val="24"/>
          <w:szCs w:val="24"/>
          <w:lang w:val="uk-UA"/>
        </w:rPr>
        <w:t xml:space="preserve">, старший викладач </w:t>
      </w:r>
    </w:p>
    <w:p w:rsidR="005C1FDB" w:rsidRDefault="005C1FDB" w:rsidP="005C1FDB">
      <w:pPr>
        <w:pStyle w:val="a3"/>
        <w:jc w:val="right"/>
        <w:rPr>
          <w:rFonts w:ascii="Times New Roman" w:hAnsi="Times New Roman"/>
          <w:i/>
          <w:sz w:val="24"/>
          <w:szCs w:val="24"/>
          <w:lang w:val="uk-UA"/>
        </w:rPr>
      </w:pPr>
      <w:r>
        <w:rPr>
          <w:rFonts w:ascii="Times New Roman" w:hAnsi="Times New Roman"/>
          <w:i/>
          <w:sz w:val="24"/>
          <w:szCs w:val="24"/>
          <w:lang w:val="uk-UA"/>
        </w:rPr>
        <w:t>Національний університет «Полтавська політехніка імені Юрія Кондратюка»</w:t>
      </w:r>
    </w:p>
    <w:p w:rsidR="005C1FDB" w:rsidRDefault="005C1FDB" w:rsidP="005C1FDB">
      <w:pPr>
        <w:widowControl w:val="0"/>
        <w:autoSpaceDE w:val="0"/>
        <w:autoSpaceDN w:val="0"/>
        <w:adjustRightInd w:val="0"/>
        <w:ind w:firstLine="709"/>
        <w:rPr>
          <w:rFonts w:ascii="Times" w:hAnsi="Times" w:cs="Times"/>
          <w:color w:val="000000"/>
          <w:lang w:val="uk-UA"/>
        </w:rPr>
      </w:pPr>
    </w:p>
    <w:p w:rsidR="005C1FDB" w:rsidRDefault="005C1FDB" w:rsidP="005C1FDB">
      <w:pPr>
        <w:pStyle w:val="a3"/>
        <w:jc w:val="center"/>
        <w:rPr>
          <w:rFonts w:ascii="Times New Roman" w:hAnsi="Times New Roman"/>
          <w:b/>
          <w:sz w:val="32"/>
          <w:szCs w:val="32"/>
          <w:lang w:val="uk-UA"/>
        </w:rPr>
      </w:pPr>
      <w:r>
        <w:rPr>
          <w:rFonts w:ascii="Times New Roman" w:hAnsi="Times New Roman"/>
          <w:b/>
          <w:sz w:val="32"/>
          <w:szCs w:val="32"/>
          <w:lang w:val="uk-UA"/>
        </w:rPr>
        <w:t>ОПТИМІЗАЦІЯ ПРОЦЕСУ ТЕХНІКО-ТАКТИЧНОЇ ПІДГОТОВКИ (НА ПРИКЛАДІ ВОЛЕЙБОЛУ)</w:t>
      </w:r>
    </w:p>
    <w:p w:rsidR="005C1FDB" w:rsidRDefault="005C1FDB" w:rsidP="005C1FD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Проблема удосконалення техніко-тактичної майстерності розглядається як важлива складова частина спеціальної підготовки спортсменів високого рівня. Численні спроби зрозуміти і проаналізувати суть, закономірності і перспективи розвитку подальших можливостей людини, які пропонуються фахівцями багатьох видів спорту, призвели до формування цілісної системи знань теорії спортивної підготовки (Платонов В.М.,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Носко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М.О.,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Піменов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М.П., Єрмаков С.С.,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Латишкевич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Л.А. та ін.).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Сучасна техніка у спорті та її еволюція залежить в більшій мірі від ступеня розвитку рухових якостей спортсмена. В змінних і складних умовах змагальної боротьби рухові дії спортсмена відрізняються великою різноманітністю способів вирішення завдань та вибору найефективніших і найдоцільніших варіантів. 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 педагогічної точки зору для організації процесу удосконалення рухової навички необхідно розкрити конкретні причини недоліки, які виникають у структурі рухів. Досвід роботи і спеціальні дослідження показали, що основна причина недоліків складається з необ’єктивних критеріїв оцінки рівня технічної майстерності, критеріїв контролю за її удосконаленням, не зрозумілою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моделлювдосконалення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технічної майстерності та відсутністю інформації яка визначає можливості ефективного управління специфічною руховою діяльністю спортсмена.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На сьогодні деякі фахівці визначають основні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завданняз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удосконалення технічної майстерності спортсменів: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досягнення високої стабільності і раціональної варіативності спеціалізованих рухів-прийомів, що складають основу техніки виду спорту;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послідовне перетворення засвоєних прийомів основ техніки до доцільних і ефективних змагальних дій;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удосконалення структури рухових дій, їх динаміки, кінематики і ритму  враховуючи індивідуальні особливості спортсменів;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підвищення надійності і результативності техніки дій спортсмена в екстремальних умовах змагань;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удосконалення технічної майстерності спортсменів, виходячи з вимог спортивної практики і досягнення науково-технічного прогресу.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Індивідуалізація підготовки спортсменів відбувається через змагальну діяльність. Для практичної реалізації даного тренувального підходу вченими розроблений наступний логічний алгоритм: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1-й крок –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дослідженнязмагальної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діяльності спортсменів на час основних змагань сезону;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2-й крок – розрахунок індивідуальної стратегічної моделі змагальних дій  і визначення сильних і слабких її сторін, з використанням групових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моделейта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індивідуальних модельних компонентів;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3-й крок – встановлення індивідуальних перспективних модельних компонентів змагальних дій в річному циклі;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4-й крок – встановлення індивідуальних перспективних модельних компонентів змагальних дій та відповідних показників спеціальної підготовленості спортсменів;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5-й крок –розробка індивідуальної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тренувальноїпрограмиза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принципом переважного розвитку таких сторін підготовленості, які забезпечують покращення сильних компонентів змагальних дій та підтягування слабких до рівня середньо групових значень ефективності.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Ефективність ігрової діяльності визначається певними закономірностями у формуванні результатів.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Вченимивизначені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чотири групи закономірностей: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1) закономірності у формуванні інформаційних процесів;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2) закономірності, які зумовлюють об’єктивний розвиток ігрового конфлікту;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3) закономірності, які характеризують тимчасові параметри ігрової діяльності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упротистоянні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 команд;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4) закономірності, які характеризують просторові параметри ігрової діяльності команд. 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Комплексний вплив вказаних закономірностей на результативність і ефективність ігрової діяльності виявляється через дію певних основних чинників: темпу взаємодії нападаючих; довжини ланцюга послідовних дій нападаючих (кількість взаємодій гравців); безперервності атакуючих дій; варіативності атакуючих дій; комплексності дій.</w:t>
      </w:r>
    </w:p>
    <w:p w:rsidR="005C1FDB" w:rsidRDefault="005C1FDB" w:rsidP="005C1FDB">
      <w:pPr>
        <w:pStyle w:val="a3"/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Проведений аналіз змагальної діяльності волейболістів високої кваліфікації, узагальнення і педагогічна інтерпретація отриманого фактичного матеріалу, дозволили групі авторів виділили основні тенденції розвитку світового волейболу, у тому числі, визначити сучасні тенденції тактичної підготовки спортсменів. До таких тенденцій відносяться: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збільшення кількості команд з високим рівнем техніко-тактичної підготовленості;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прогрес виконавчої майстерності ведучих волейболістів в умовах жорсткого опору суперників;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lastRenderedPageBreak/>
        <w:t>підвищення інтенсивності тренувальної і змагальної діяльності команд-лідерів;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зменшення часу у спортсменів на сприйняття і оцінку ігрової ситуації і ухвалення єдино правильного вирішення рухової задачі;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варіативність використання прийомів гри і тактичних взаємодій;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зростання фізичної і психічної напруги змагальної діяльності;</w:t>
      </w:r>
    </w:p>
    <w:p w:rsidR="005C1FDB" w:rsidRDefault="005C1FDB" w:rsidP="005C1FDB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грамотне поєднання універсалізації і спеціалізації гравців різних амплуа.</w:t>
      </w:r>
    </w:p>
    <w:p w:rsidR="005C1FDB" w:rsidRDefault="005C1FDB" w:rsidP="005C1FD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Враховуючи, що науковий пошук науковців і практиків волейболу спрямований на раціоналізацію структури тренувального процесу; варіювання об’єму і інтенсивності тренувальних навантажень в мікро,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мезо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макроциклах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; дослідження нетрадиційних засобів  підготовки і контролю; об’єктивізацію структури підготовленості і змагальної діяльності; розробку модельних характеристик.</w:t>
      </w:r>
    </w:p>
    <w:p w:rsidR="005C1FDB" w:rsidRDefault="005C1FDB" w:rsidP="005C1FDB">
      <w:pPr>
        <w:pStyle w:val="a3"/>
        <w:ind w:firstLine="72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Вважаємо, що при збереженні досягнутого наукового потенціалу і практики підготовки спортсменів введення в програму техніко-тактичної підготовки волейболістів, виявлених закономірностей формування ефективної змагальної діяльності  дозволить значною мірою наблизити умови і режим тренувального процесу до реальних запитів та принесе позитивний ефект у формуванні результату гри і змагань в цілому. Об’єктивність вищезгаданого припущення підтверджується загальними закономірностями теорії спортивного тренування і теорії спортивних ігор взагалі і волейболу зокрема.  </w:t>
      </w:r>
    </w:p>
    <w:p w:rsidR="005C1FDB" w:rsidRDefault="005C1FDB" w:rsidP="005C1FDB">
      <w:pPr>
        <w:pStyle w:val="a3"/>
        <w:jc w:val="both"/>
        <w:rPr>
          <w:rFonts w:ascii="Times New Roman" w:hAnsi="Times New Roman"/>
          <w:sz w:val="28"/>
          <w:szCs w:val="28"/>
          <w:lang w:val="uk-UA"/>
        </w:rPr>
      </w:pPr>
    </w:p>
    <w:p w:rsidR="004D5484" w:rsidRPr="0088590F" w:rsidRDefault="004D5484">
      <w:pPr>
        <w:rPr>
          <w:lang w:val="uk-UA"/>
        </w:rPr>
      </w:pPr>
    </w:p>
    <w:sectPr w:rsidR="004D5484" w:rsidRPr="0088590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1FA430B"/>
    <w:multiLevelType w:val="hybridMultilevel"/>
    <w:tmpl w:val="9304A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C0149"/>
    <w:multiLevelType w:val="hybridMultilevel"/>
    <w:tmpl w:val="73760C16"/>
    <w:lvl w:ilvl="0" w:tplc="88082E80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1FDB"/>
    <w:rsid w:val="00481C00"/>
    <w:rsid w:val="004D5484"/>
    <w:rsid w:val="005C1FDB"/>
    <w:rsid w:val="008859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32C439-E550-4A07-AD5C-44D707FF20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C1FDB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C1FDB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10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939</Words>
  <Characters>5355</Characters>
  <Application>Microsoft Office Word</Application>
  <DocSecurity>0</DocSecurity>
  <Lines>44</Lines>
  <Paragraphs>12</Paragraphs>
  <ScaleCrop>false</ScaleCrop>
  <Company/>
  <LinksUpToDate>false</LinksUpToDate>
  <CharactersWithSpaces>6282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2</cp:revision>
  <dcterms:created xsi:type="dcterms:W3CDTF">2020-05-17T17:07:00Z</dcterms:created>
  <dcterms:modified xsi:type="dcterms:W3CDTF">2020-05-19T06:43:00Z</dcterms:modified>
</cp:coreProperties>
</file>