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9F7" w:rsidRDefault="00AA69F7" w:rsidP="00AA69F7">
      <w:pPr>
        <w:pStyle w:val="Default"/>
        <w:ind w:firstLine="709"/>
        <w:jc w:val="both"/>
        <w:rPr>
          <w:lang w:val="uk-UA"/>
        </w:rPr>
      </w:pPr>
      <w:r>
        <w:rPr>
          <w:b/>
          <w:lang w:val="uk-UA"/>
        </w:rPr>
        <w:t>Сушко Я.,</w:t>
      </w:r>
      <w:r>
        <w:rPr>
          <w:lang w:val="uk-UA"/>
        </w:rPr>
        <w:t xml:space="preserve"> Рибалко Л. Техніко-тактична майстерність як складова спеціальної підготовки спортсменів. </w:t>
      </w:r>
      <w:r>
        <w:rPr>
          <w:i/>
          <w:lang w:val="uk-UA"/>
        </w:rPr>
        <w:t>Сучасні погляди молоді на фізичну культуру, спорт та здоров’я людини</w:t>
      </w:r>
      <w:r>
        <w:rPr>
          <w:lang w:val="uk-UA"/>
        </w:rPr>
        <w:t>: збірник тез наукової конференції у рамках весняного фестивалю науки, присвяченого Дню науки, 14 травня 2021 року. Харків: ХДАФК, 2021. С. 99-102.</w:t>
      </w:r>
    </w:p>
    <w:p w:rsidR="00AA69F7" w:rsidRDefault="00AA69F7" w:rsidP="00B0530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AA69F7" w:rsidRDefault="00AA69F7" w:rsidP="00B0530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C464A" w:rsidRPr="005D5A4C" w:rsidRDefault="00CC464A" w:rsidP="00B053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5A4C">
        <w:rPr>
          <w:rFonts w:ascii="Times New Roman" w:hAnsi="Times New Roman"/>
          <w:b/>
          <w:sz w:val="28"/>
          <w:szCs w:val="28"/>
          <w:lang w:val="uk-UA"/>
        </w:rPr>
        <w:t xml:space="preserve">ТЕХНІКО-ТАКТИЧНА </w:t>
      </w:r>
      <w:r w:rsidR="005E6B80" w:rsidRPr="005D5A4C">
        <w:rPr>
          <w:rFonts w:ascii="Times New Roman" w:hAnsi="Times New Roman"/>
          <w:b/>
          <w:sz w:val="28"/>
          <w:szCs w:val="28"/>
          <w:lang w:val="uk-UA"/>
        </w:rPr>
        <w:t>МАЙСТЕРНІСТЬ</w:t>
      </w:r>
      <w:r w:rsidRPr="005D5A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6B80" w:rsidRPr="005D5A4C">
        <w:rPr>
          <w:rFonts w:ascii="Times New Roman" w:hAnsi="Times New Roman"/>
          <w:b/>
          <w:sz w:val="28"/>
          <w:szCs w:val="28"/>
          <w:lang w:val="uk-UA"/>
        </w:rPr>
        <w:t>ЯК СКЛАДОВА СПЕЦІАЛЬНОЇ ПІДГОТОВКИ СПОРТМЕНІВ</w:t>
      </w:r>
    </w:p>
    <w:p w:rsidR="005D5A4C" w:rsidRDefault="005D5A4C" w:rsidP="00B0530B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FB6974" w:rsidRPr="00FB6974" w:rsidRDefault="00FB6974" w:rsidP="00B0530B">
      <w:pPr>
        <w:pStyle w:val="a3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(УДОСКОНАЛЕННЯ ПІДГОТОВКИ СПОРТСМЕНІВ РІЗНОЇ КВАЛІФІКАЦІЇ)</w:t>
      </w:r>
    </w:p>
    <w:p w:rsidR="00FB6974" w:rsidRDefault="00FB6974" w:rsidP="00B0530B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B0530B" w:rsidRPr="005D5A4C" w:rsidRDefault="005D5A4C" w:rsidP="00B0530B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Ярослав Сушко, </w:t>
      </w:r>
      <w:r w:rsidR="00FB69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наук. керівник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Ліна Рибалко</w:t>
      </w:r>
    </w:p>
    <w:p w:rsidR="005D5A4C" w:rsidRDefault="005D5A4C" w:rsidP="005D5A4C">
      <w:pPr>
        <w:pStyle w:val="a3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D5A4C" w:rsidRPr="005D5A4C" w:rsidRDefault="00B0530B" w:rsidP="005D5A4C">
      <w:pPr>
        <w:pStyle w:val="a3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D5A4C">
        <w:rPr>
          <w:rFonts w:ascii="Times New Roman" w:hAnsi="Times New Roman"/>
          <w:i/>
          <w:sz w:val="28"/>
          <w:szCs w:val="28"/>
          <w:lang w:val="uk-UA"/>
        </w:rPr>
        <w:t xml:space="preserve">Національний університет «Полтавська політехніка </w:t>
      </w:r>
    </w:p>
    <w:p w:rsidR="00B0530B" w:rsidRPr="005D5A4C" w:rsidRDefault="00B0530B" w:rsidP="005D5A4C">
      <w:pPr>
        <w:pStyle w:val="a3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D5A4C">
        <w:rPr>
          <w:rFonts w:ascii="Times New Roman" w:hAnsi="Times New Roman"/>
          <w:i/>
          <w:sz w:val="28"/>
          <w:szCs w:val="28"/>
          <w:lang w:val="uk-UA"/>
        </w:rPr>
        <w:t>імені Юрія Кондратюка»</w:t>
      </w:r>
    </w:p>
    <w:p w:rsidR="005D5A4C" w:rsidRDefault="005D5A4C" w:rsidP="005D5A4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A4C" w:rsidRDefault="005D5A4C" w:rsidP="005D5A4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Розкрито особливості тактико-тактичної майстерності як складової спеціальної підготовки спортсменів; форми та методи удосконалення спортивної підготовки.</w:t>
      </w:r>
    </w:p>
    <w:p w:rsidR="005D5A4C" w:rsidRDefault="005D5A4C" w:rsidP="005D5A4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Ключові слова: техніко-тактична майстерність, спортивна підготовка.</w:t>
      </w:r>
    </w:p>
    <w:p w:rsidR="00CC464A" w:rsidRPr="005D5A4C" w:rsidRDefault="00CC464A" w:rsidP="00B053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64A" w:rsidRPr="005D5A4C" w:rsidRDefault="005D5A4C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Вступ</w:t>
      </w:r>
      <w:r w:rsidR="00B0530B" w:rsidRPr="005D5A4C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CC464A" w:rsidRPr="005D5A4C">
        <w:rPr>
          <w:rFonts w:ascii="Times New Roman" w:hAnsi="Times New Roman"/>
          <w:sz w:val="28"/>
          <w:szCs w:val="28"/>
          <w:lang w:val="uk-UA"/>
        </w:rPr>
        <w:t xml:space="preserve">Проблема удосконалення техніко-тактичної майстерності розглядається як важлива складова частина спеціальної підготовки спортсменів високого рівня. Численні спроби зрозуміти і проаналізувати суть, закономірності і перспективи розвитку подальших можливостей людини, які пропонуються фахівцями багатьох видів спорту, призвели до формування цілісної системи знань теорії спортивної підготовки (Платонов В.М., </w:t>
      </w:r>
      <w:proofErr w:type="spellStart"/>
      <w:r w:rsidR="00CC464A" w:rsidRPr="005D5A4C">
        <w:rPr>
          <w:rFonts w:ascii="Times New Roman" w:hAnsi="Times New Roman"/>
          <w:sz w:val="28"/>
          <w:szCs w:val="28"/>
          <w:lang w:val="uk-UA"/>
        </w:rPr>
        <w:t>Носко</w:t>
      </w:r>
      <w:proofErr w:type="spellEnd"/>
      <w:r w:rsidR="00CC464A" w:rsidRPr="005D5A4C">
        <w:rPr>
          <w:rFonts w:ascii="Times New Roman" w:hAnsi="Times New Roman"/>
          <w:sz w:val="28"/>
          <w:szCs w:val="28"/>
          <w:lang w:val="uk-UA"/>
        </w:rPr>
        <w:t xml:space="preserve"> М.О., </w:t>
      </w:r>
      <w:proofErr w:type="spellStart"/>
      <w:r w:rsidR="00CC464A" w:rsidRPr="005D5A4C">
        <w:rPr>
          <w:rFonts w:ascii="Times New Roman" w:hAnsi="Times New Roman"/>
          <w:sz w:val="28"/>
          <w:szCs w:val="28"/>
          <w:lang w:val="uk-UA"/>
        </w:rPr>
        <w:t>Піменов</w:t>
      </w:r>
      <w:proofErr w:type="spellEnd"/>
      <w:r w:rsidR="00CC464A" w:rsidRPr="005D5A4C">
        <w:rPr>
          <w:rFonts w:ascii="Times New Roman" w:hAnsi="Times New Roman"/>
          <w:sz w:val="28"/>
          <w:szCs w:val="28"/>
          <w:lang w:val="uk-UA"/>
        </w:rPr>
        <w:t xml:space="preserve"> М.П., Єрмаков С.С., </w:t>
      </w:r>
      <w:proofErr w:type="spellStart"/>
      <w:r w:rsidR="00CC464A" w:rsidRPr="005D5A4C">
        <w:rPr>
          <w:rFonts w:ascii="Times New Roman" w:hAnsi="Times New Roman"/>
          <w:sz w:val="28"/>
          <w:szCs w:val="28"/>
          <w:lang w:val="uk-UA"/>
        </w:rPr>
        <w:t>Латишкевич</w:t>
      </w:r>
      <w:proofErr w:type="spellEnd"/>
      <w:r w:rsidR="00CC464A" w:rsidRPr="005D5A4C">
        <w:rPr>
          <w:rFonts w:ascii="Times New Roman" w:hAnsi="Times New Roman"/>
          <w:sz w:val="28"/>
          <w:szCs w:val="28"/>
          <w:lang w:val="uk-UA"/>
        </w:rPr>
        <w:t xml:space="preserve"> Л.А. та ін.).</w:t>
      </w:r>
    </w:p>
    <w:p w:rsidR="00CC464A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Сучасна техніка у спорті та її еволюція залежить в більшій мірі від ступеня розвитку рухових якостей спортсмена. В змінних і складних умовах змагальної боротьби рухові дії спортсмена відрізняються великою різноманітністю способів вирішення завдань та вибору найефективніших і найдоцільніших варіантів. З педагогічної точки зору для організації процесу удосконалення рухової навички необхідно розкрити конкретні причини недоліки, які виникають у структурі рухів. Досвід роботи і спеціальні дослідження показали, що основна причина недоліків складається з необ’єктивних критеріїв оцінки рівня технічної майстерності, критеріїв контролю за її удосконаленням, не зрозумілою моделлю</w:t>
      </w:r>
      <w:r w:rsidR="00B0530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вдосконалення технічної майстерності та відсутністю інформації яка визначає можливості ефективного управління специфічною руховою діяльністю спортсмена.</w:t>
      </w:r>
    </w:p>
    <w:p w:rsidR="005D5A4C" w:rsidRDefault="005D5A4C" w:rsidP="005D5A4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Мета і завдання дослідження.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Мета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полягає в теоретичному обґрунтуванні техніко-тактичної м майстерності спортсменів. Завданнями дослідження є: 1) розкриття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специфіки техніко-тактичної майстерності спортсменів; 2) характеристика індивідуального підходу у спеціальній підготовці спортсменів .</w:t>
      </w:r>
    </w:p>
    <w:p w:rsidR="00B0530B" w:rsidRPr="005D5A4C" w:rsidRDefault="005D5A4C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697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Матеріал і методи дослідження. </w:t>
      </w:r>
      <w:r w:rsidR="00B0530B" w:rsidRPr="005D5A4C">
        <w:rPr>
          <w:rFonts w:ascii="Times New Roman" w:hAnsi="Times New Roman"/>
          <w:sz w:val="28"/>
          <w:szCs w:val="28"/>
          <w:lang w:val="uk-UA"/>
        </w:rPr>
        <w:t>Використовували такі методи дослідження, як: аналіз і узагальнення наукової літератури з метою розкриття техніко-тактичної майстерності та спеціальної підготовки спортсменів; порівняння та синтез визначення спеціальних рухів-прийомів, що складають основу техніки виду спорту.</w:t>
      </w:r>
    </w:p>
    <w:p w:rsidR="00B0530B" w:rsidRPr="005D5A4C" w:rsidRDefault="005D5A4C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їх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обговорення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="00B0530B" w:rsidRPr="005D5A4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0530B" w:rsidRPr="005D5A4C">
        <w:rPr>
          <w:rFonts w:ascii="Times New Roman" w:hAnsi="Times New Roman"/>
          <w:sz w:val="28"/>
          <w:szCs w:val="28"/>
          <w:lang w:val="uk-UA"/>
        </w:rPr>
        <w:t>Нині</w:t>
      </w:r>
      <w:r w:rsidR="00CC464A" w:rsidRPr="005D5A4C">
        <w:rPr>
          <w:rFonts w:ascii="Times New Roman" w:hAnsi="Times New Roman"/>
          <w:sz w:val="28"/>
          <w:szCs w:val="28"/>
          <w:lang w:val="uk-UA"/>
        </w:rPr>
        <w:t xml:space="preserve"> фахівці визначають основні завдання удосконалення технічної майстерності спортсменів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33B" w:rsidRPr="005D5A4C">
        <w:rPr>
          <w:rFonts w:ascii="Times New Roman" w:eastAsia="Times New Roman" w:hAnsi="Times New Roman"/>
          <w:sz w:val="28"/>
          <w:szCs w:val="28"/>
          <w:lang w:val="uk-UA" w:eastAsia="ru-RU"/>
        </w:rPr>
        <w:t>[1]</w:t>
      </w:r>
      <w:r w:rsidR="00CC464A" w:rsidRPr="005D5A4C">
        <w:rPr>
          <w:rFonts w:ascii="Times New Roman" w:hAnsi="Times New Roman"/>
          <w:sz w:val="28"/>
          <w:szCs w:val="28"/>
          <w:lang w:val="uk-UA"/>
        </w:rPr>
        <w:t>:</w:t>
      </w:r>
    </w:p>
    <w:p w:rsidR="00B0530B" w:rsidRPr="005D5A4C" w:rsidRDefault="00CC464A" w:rsidP="00B0530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досягнення високої стабільності і раціональної варіативності спеціалізованих рухів-прийомів, що складають основу техніки виду спорту;</w:t>
      </w:r>
    </w:p>
    <w:p w:rsidR="00B0530B" w:rsidRPr="005D5A4C" w:rsidRDefault="00CC464A" w:rsidP="00B0530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послідовне перетворення засвоєних прийомів основ техніки до доціль</w:t>
      </w:r>
      <w:r w:rsidR="00B0530B" w:rsidRPr="005D5A4C">
        <w:rPr>
          <w:rFonts w:ascii="Times New Roman" w:hAnsi="Times New Roman"/>
          <w:sz w:val="28"/>
          <w:szCs w:val="28"/>
          <w:lang w:val="uk-UA"/>
        </w:rPr>
        <w:t>них і ефективних змагальних дій;</w:t>
      </w:r>
    </w:p>
    <w:p w:rsidR="00B0530B" w:rsidRPr="005D5A4C" w:rsidRDefault="00CC464A" w:rsidP="00B0530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удосконалення структури рухових дій, їх динаміки, кінематики і ритму  враховуючи індивідуальні особливості спортсменів;</w:t>
      </w:r>
    </w:p>
    <w:p w:rsidR="00B0530B" w:rsidRPr="005D5A4C" w:rsidRDefault="00CC464A" w:rsidP="00B0530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підвищення надійності і результативності техніки дій спортсмена в екстремальних умовах змагань;</w:t>
      </w:r>
    </w:p>
    <w:p w:rsidR="00CC464A" w:rsidRPr="005D5A4C" w:rsidRDefault="00CC464A" w:rsidP="00B0530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удосконалення технічної майстерності спортсменів, виходячи з вимог спортивної практики і досягнення науково-технічного прогресу.</w:t>
      </w:r>
    </w:p>
    <w:p w:rsidR="00CC464A" w:rsidRPr="005D5A4C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Індивідуалізація підготовки спортсменів відбувається через змагальну діяльність. Для практичної реалізації даного тренувального підходу вченими розроблений наступний логічний алгоритм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33B" w:rsidRPr="005D5A4C">
        <w:rPr>
          <w:rFonts w:ascii="Times New Roman" w:eastAsia="Times New Roman" w:hAnsi="Times New Roman"/>
          <w:sz w:val="28"/>
          <w:szCs w:val="28"/>
          <w:lang w:val="uk-UA" w:eastAsia="ru-RU"/>
        </w:rPr>
        <w:t>[2]</w:t>
      </w:r>
      <w:r w:rsidRPr="005D5A4C">
        <w:rPr>
          <w:rFonts w:ascii="Times New Roman" w:hAnsi="Times New Roman"/>
          <w:sz w:val="28"/>
          <w:szCs w:val="28"/>
          <w:lang w:val="uk-UA"/>
        </w:rPr>
        <w:t>:</w:t>
      </w:r>
    </w:p>
    <w:p w:rsidR="00CC464A" w:rsidRPr="005D5A4C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1-й крок – дослідження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змагальної діяльності спортсменів на час основних змагань сезону;</w:t>
      </w:r>
    </w:p>
    <w:p w:rsidR="00CC464A" w:rsidRPr="005D5A4C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2-й крок – розрахунок індивідуальної стратегічної моделі змагальних дій  і визначення сильних і слабких її сторін, з використанням групових моделей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та індивідуальних модельних компонентів;</w:t>
      </w:r>
    </w:p>
    <w:p w:rsidR="00CC464A" w:rsidRPr="005D5A4C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3-й крок – встановлення індивідуальних перспективних модельних компонентів змагальних дій в річному циклі;</w:t>
      </w:r>
    </w:p>
    <w:p w:rsidR="00CC464A" w:rsidRPr="005D5A4C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4-й крок – встановлення індивідуальних перспективних модельних компонентів змагальних дій та відповідних показників спеціальної підготовленості спортсменів;</w:t>
      </w:r>
    </w:p>
    <w:p w:rsidR="00CC464A" w:rsidRPr="005D5A4C" w:rsidRDefault="00CC464A" w:rsidP="00B053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5-й крок –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розробка індивідуальної тренувальної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програми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за принципом переважного розвитку таких сторін підготовленості, які забезпечують покращення сильних компонентів змагальних дій та підтягування слабких до рівня середньо групових значень ефективності.</w:t>
      </w:r>
    </w:p>
    <w:p w:rsidR="00CC464A" w:rsidRPr="005D5A4C" w:rsidRDefault="00CC464A" w:rsidP="005D5A4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5A4C">
        <w:rPr>
          <w:rFonts w:ascii="Times New Roman" w:hAnsi="Times New Roman"/>
          <w:sz w:val="28"/>
          <w:szCs w:val="28"/>
          <w:lang w:val="uk-UA"/>
        </w:rPr>
        <w:t>Проведений аналіз змагальної діяльності волейболістів високої кваліфікації, узагальнення і педагогічна інтерпретація отриманого фактичного матеріалу, дозволили групі авторів виділили основні тенденції розвитку світового волейболу, у тому числі, визначити сучасні тенденції тактичної підготовки спортсменів. До таких тенденцій відносяться: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збільшення кількості команд з високим рівнем техніко-тактичної підготовленості;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прогрес виконавчої майстерності ведучих волейболістів в умовах жорсткого опору суперників;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підвищення інтенсивності тренувальної і змагальної діяльності команд-лідерів;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зменшення часу у спортсменів на сприйняття і оцінку ігрової ситуації і ухвалення єдино правильного вирішення рухової задачі;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 xml:space="preserve">варіативність </w:t>
      </w:r>
      <w:r w:rsidRPr="005D5A4C">
        <w:rPr>
          <w:rFonts w:ascii="Times New Roman" w:hAnsi="Times New Roman"/>
          <w:sz w:val="28"/>
          <w:szCs w:val="28"/>
          <w:lang w:val="uk-UA"/>
        </w:rPr>
        <w:lastRenderedPageBreak/>
        <w:t>використання прийомів гри і тактичних взаємодій;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зростання фізичної і психічної напруги змагальної діяльності;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5A4C">
        <w:rPr>
          <w:rFonts w:ascii="Times New Roman" w:hAnsi="Times New Roman"/>
          <w:sz w:val="28"/>
          <w:szCs w:val="28"/>
          <w:lang w:val="uk-UA"/>
        </w:rPr>
        <w:t>грамотне поєднання універсалізації і спеціалізації гравців різних амплуа.</w:t>
      </w:r>
    </w:p>
    <w:p w:rsidR="00CC464A" w:rsidRDefault="005D5A4C" w:rsidP="00B0530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Висновки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CC464A" w:rsidRPr="005D5A4C">
        <w:rPr>
          <w:rFonts w:ascii="Times New Roman" w:hAnsi="Times New Roman"/>
          <w:sz w:val="28"/>
          <w:szCs w:val="28"/>
          <w:lang w:val="uk-UA"/>
        </w:rPr>
        <w:t xml:space="preserve">ри збереженні досягнутого наукового потенціалу і практики підготовки спортсменів введення в програму техніко-тактичної підготовки волейболістів, виявлених закономірностей формування ефективної змагальної діяльності  дозволить значною мірою наблизити умови і режим тренувального процесу до реальних запитів та принесе позитивний ефект у формуванні результату гри і змагань в цілому. Об’єктивність вищезгаданого припущення підтверджується загальними закономірностями теорії спортивного тренування і теорії спортивних ігор взагалі і волейболу зокрема.  </w:t>
      </w:r>
    </w:p>
    <w:p w:rsidR="005D5A4C" w:rsidRDefault="005D5A4C" w:rsidP="005D5A4C">
      <w:pPr>
        <w:tabs>
          <w:tab w:val="left" w:pos="900"/>
          <w:tab w:val="left" w:pos="1080"/>
          <w:tab w:val="left" w:pos="14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Перспективи подальших досліджень у цьому напрямі. </w:t>
      </w:r>
      <w:r>
        <w:rPr>
          <w:rFonts w:ascii="Times New Roman" w:hAnsi="Times New Roman" w:cs="Times New Roman"/>
          <w:sz w:val="28"/>
          <w:szCs w:val="28"/>
        </w:rPr>
        <w:t>Дослідження потребують розроблення спеціальної програми спортивної підготовки волейболістів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5D5A4C" w:rsidRPr="005D5A4C" w:rsidRDefault="005D5A4C" w:rsidP="00B0530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A4C" w:rsidRDefault="005D5A4C" w:rsidP="005D5A4C">
      <w:pPr>
        <w:tabs>
          <w:tab w:val="left" w:pos="900"/>
          <w:tab w:val="left" w:pos="1080"/>
          <w:tab w:val="left" w:pos="144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використаної літератури</w:t>
      </w:r>
    </w:p>
    <w:p w:rsidR="00B34E1E" w:rsidRDefault="0098633B" w:rsidP="00B34E1E">
      <w:pPr>
        <w:pStyle w:val="1"/>
        <w:shd w:val="clear" w:color="auto" w:fill="auto"/>
        <w:tabs>
          <w:tab w:val="left" w:pos="900"/>
          <w:tab w:val="left" w:pos="1080"/>
          <w:tab w:val="left" w:pos="1440"/>
          <w:tab w:val="left" w:pos="1620"/>
          <w:tab w:val="left" w:pos="1800"/>
        </w:tabs>
        <w:spacing w:line="300" w:lineRule="exact"/>
        <w:jc w:val="both"/>
        <w:rPr>
          <w:rFonts w:ascii="Times New Roman" w:hAnsi="Times New Roman"/>
          <w:sz w:val="28"/>
          <w:szCs w:val="28"/>
        </w:rPr>
      </w:pPr>
      <w:r w:rsidRPr="005D5A4C">
        <w:rPr>
          <w:rFonts w:ascii="Times New Roman" w:hAnsi="Times New Roman"/>
          <w:sz w:val="28"/>
          <w:szCs w:val="28"/>
        </w:rPr>
        <w:t>1. </w:t>
      </w:r>
      <w:r w:rsidR="00B34E1E">
        <w:rPr>
          <w:rFonts w:ascii="Times New Roman" w:hAnsi="Times New Roman"/>
          <w:sz w:val="28"/>
          <w:szCs w:val="28"/>
        </w:rPr>
        <w:t xml:space="preserve">Дехтяр В. Д. Основи спортивного тренування: </w:t>
      </w:r>
      <w:proofErr w:type="spellStart"/>
      <w:r w:rsidR="00B34E1E">
        <w:rPr>
          <w:rFonts w:ascii="Times New Roman" w:hAnsi="Times New Roman"/>
          <w:sz w:val="28"/>
          <w:szCs w:val="28"/>
        </w:rPr>
        <w:t>навч</w:t>
      </w:r>
      <w:proofErr w:type="spellEnd"/>
      <w:r w:rsidR="00B34E1E">
        <w:rPr>
          <w:rFonts w:ascii="Times New Roman" w:hAnsi="Times New Roman"/>
          <w:sz w:val="28"/>
          <w:szCs w:val="28"/>
        </w:rPr>
        <w:t xml:space="preserve">.-метод. </w:t>
      </w:r>
      <w:proofErr w:type="spellStart"/>
      <w:r w:rsidR="00B34E1E">
        <w:rPr>
          <w:rFonts w:ascii="Times New Roman" w:hAnsi="Times New Roman"/>
          <w:sz w:val="28"/>
          <w:szCs w:val="28"/>
        </w:rPr>
        <w:t>посіб</w:t>
      </w:r>
      <w:proofErr w:type="spellEnd"/>
      <w:r w:rsidR="00B34E1E">
        <w:rPr>
          <w:rFonts w:ascii="Times New Roman" w:hAnsi="Times New Roman"/>
          <w:sz w:val="28"/>
          <w:szCs w:val="28"/>
        </w:rPr>
        <w:t>. Київ : Науковий світ, 2001. 180 с.</w:t>
      </w:r>
    </w:p>
    <w:p w:rsidR="0098633B" w:rsidRPr="005D5A4C" w:rsidRDefault="00B34E1E" w:rsidP="00B0530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Пітин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П. Теоретична підготовка в спорті: монографія. Львів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: ЛДУФК</w:t>
      </w:r>
      <w:r w:rsidR="005D5A4C">
        <w:rPr>
          <w:rFonts w:ascii="Times New Roman" w:hAnsi="Times New Roman"/>
          <w:sz w:val="28"/>
          <w:szCs w:val="28"/>
          <w:lang w:val="uk-UA"/>
        </w:rPr>
        <w:t>,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2015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372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.</w:t>
      </w:r>
    </w:p>
    <w:p w:rsidR="0098633B" w:rsidRDefault="00B34E1E" w:rsidP="00B0530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. </w:t>
      </w:r>
      <w:r w:rsidR="00A6613B" w:rsidRPr="005D5A4C">
        <w:rPr>
          <w:rFonts w:ascii="Times New Roman" w:hAnsi="Times New Roman"/>
          <w:sz w:val="28"/>
          <w:szCs w:val="28"/>
          <w:lang w:val="uk-UA"/>
        </w:rPr>
        <w:t>Платонов В.</w:t>
      </w:r>
      <w:r w:rsid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613B" w:rsidRPr="005D5A4C">
        <w:rPr>
          <w:rFonts w:ascii="Times New Roman" w:hAnsi="Times New Roman"/>
          <w:sz w:val="28"/>
          <w:szCs w:val="28"/>
          <w:lang w:val="uk-UA"/>
        </w:rPr>
        <w:t>Н. Система підготовки спортсменов в олимпийском спорте. Общая теория и ее практические прилож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ения: учеб. тренера 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высш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квалиф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>.</w:t>
      </w:r>
      <w:r w:rsidR="00A661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К.: </w:t>
      </w:r>
      <w:proofErr w:type="spellStart"/>
      <w:r w:rsidR="00A6613B" w:rsidRPr="005D5A4C">
        <w:rPr>
          <w:rFonts w:ascii="Times New Roman" w:hAnsi="Times New Roman"/>
          <w:sz w:val="28"/>
          <w:szCs w:val="28"/>
          <w:lang w:val="uk-UA"/>
        </w:rPr>
        <w:t>Олимпийская</w:t>
      </w:r>
      <w:proofErr w:type="spellEnd"/>
      <w:r w:rsidR="00A661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613B" w:rsidRPr="005D5A4C">
        <w:rPr>
          <w:rFonts w:ascii="Times New Roman" w:hAnsi="Times New Roman"/>
          <w:sz w:val="28"/>
          <w:szCs w:val="28"/>
          <w:lang w:val="uk-UA"/>
        </w:rPr>
        <w:t>литература</w:t>
      </w:r>
      <w:proofErr w:type="spellEnd"/>
      <w:r w:rsidR="00A6613B" w:rsidRPr="005D5A4C">
        <w:rPr>
          <w:rFonts w:ascii="Times New Roman" w:hAnsi="Times New Roman"/>
          <w:sz w:val="28"/>
          <w:szCs w:val="28"/>
          <w:lang w:val="uk-UA"/>
        </w:rPr>
        <w:t>, 2004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:</w:t>
      </w:r>
      <w:r w:rsidR="00A6613B" w:rsidRPr="005D5A4C">
        <w:rPr>
          <w:rFonts w:ascii="Times New Roman" w:hAnsi="Times New Roman"/>
          <w:sz w:val="28"/>
          <w:szCs w:val="28"/>
          <w:lang w:val="uk-UA"/>
        </w:rPr>
        <w:t xml:space="preserve"> 584 с. </w:t>
      </w:r>
    </w:p>
    <w:p w:rsidR="00B34E1E" w:rsidRDefault="00B34E1E" w:rsidP="00B34E1E">
      <w:pPr>
        <w:pStyle w:val="1"/>
        <w:shd w:val="clear" w:color="auto" w:fill="auto"/>
        <w:tabs>
          <w:tab w:val="left" w:pos="900"/>
          <w:tab w:val="left" w:pos="1080"/>
          <w:tab w:val="left" w:pos="1440"/>
          <w:tab w:val="left" w:pos="1620"/>
          <w:tab w:val="left" w:pos="1800"/>
        </w:tabs>
        <w:spacing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Фокін С. П. Спортивне тренування : </w:t>
      </w:r>
      <w:proofErr w:type="spellStart"/>
      <w:r>
        <w:rPr>
          <w:rFonts w:ascii="Times New Roman" w:hAnsi="Times New Roman"/>
          <w:sz w:val="28"/>
          <w:szCs w:val="28"/>
        </w:rPr>
        <w:t>навч</w:t>
      </w:r>
      <w:proofErr w:type="spellEnd"/>
      <w:r>
        <w:rPr>
          <w:rFonts w:ascii="Times New Roman" w:hAnsi="Times New Roman"/>
          <w:sz w:val="28"/>
          <w:szCs w:val="28"/>
        </w:rPr>
        <w:t xml:space="preserve">.-метод. </w:t>
      </w:r>
      <w:proofErr w:type="spellStart"/>
      <w:r>
        <w:rPr>
          <w:rFonts w:ascii="Times New Roman" w:hAnsi="Times New Roman"/>
          <w:sz w:val="28"/>
          <w:szCs w:val="28"/>
        </w:rPr>
        <w:t>посіб</w:t>
      </w:r>
      <w:proofErr w:type="spellEnd"/>
      <w:r>
        <w:rPr>
          <w:rFonts w:ascii="Times New Roman" w:hAnsi="Times New Roman"/>
          <w:sz w:val="28"/>
          <w:szCs w:val="28"/>
        </w:rPr>
        <w:t xml:space="preserve">. [для </w:t>
      </w:r>
      <w:proofErr w:type="spellStart"/>
      <w:r>
        <w:rPr>
          <w:rFonts w:ascii="Times New Roman" w:hAnsi="Times New Roman"/>
          <w:sz w:val="28"/>
          <w:szCs w:val="28"/>
        </w:rPr>
        <w:t>студ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вищ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навч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закл</w:t>
      </w:r>
      <w:proofErr w:type="spellEnd"/>
      <w:r>
        <w:rPr>
          <w:rFonts w:ascii="Times New Roman" w:hAnsi="Times New Roman"/>
          <w:sz w:val="28"/>
          <w:szCs w:val="28"/>
        </w:rPr>
        <w:t>.]. Київ : «НАУ-друк», 2011. 140 с.</w:t>
      </w:r>
    </w:p>
    <w:p w:rsidR="00CC464A" w:rsidRPr="005D5A4C" w:rsidRDefault="00B34E1E" w:rsidP="0098633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8633B" w:rsidRPr="005D5A4C">
        <w:rPr>
          <w:rFonts w:ascii="Times New Roman" w:hAnsi="Times New Roman"/>
          <w:sz w:val="28"/>
          <w:szCs w:val="28"/>
          <w:lang w:val="uk-UA"/>
        </w:rPr>
        <w:t>. 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Metody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nauczania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i 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kontroli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taktyki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633B" w:rsidRPr="005D5A4C">
        <w:rPr>
          <w:rFonts w:ascii="Times New Roman" w:hAnsi="Times New Roman"/>
          <w:sz w:val="28"/>
          <w:szCs w:val="28"/>
          <w:lang w:val="uk-UA"/>
        </w:rPr>
        <w:t>strzelania</w:t>
      </w:r>
      <w:proofErr w:type="spellEnd"/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 − [Електронний ресурс]. – Режим доступу: </w:t>
      </w:r>
      <w:hyperlink r:id="rId5" w:history="1">
        <w:r w:rsidR="0098633B" w:rsidRPr="005D5A4C">
          <w:rPr>
            <w:rStyle w:val="a4"/>
            <w:rFonts w:ascii="Times New Roman" w:hAnsi="Times New Roman"/>
            <w:sz w:val="28"/>
            <w:szCs w:val="28"/>
            <w:lang w:val="uk-UA"/>
          </w:rPr>
          <w:t>www.pzss.org.pl/index.php/14-strony-statyczne/bibliotekatrenera/373-metody-nauczania-ikontroli-taktyki-strzelania</w:t>
        </w:r>
      </w:hyperlink>
      <w:r w:rsidR="0098633B" w:rsidRPr="005D5A4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8633B" w:rsidRPr="005D5A4C" w:rsidRDefault="0098633B" w:rsidP="0098633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806" w:rsidRPr="005D5A4C" w:rsidRDefault="00254806" w:rsidP="00B0530B">
      <w:pPr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4806" w:rsidRPr="005D5A4C" w:rsidSect="005D5A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3228F"/>
    <w:multiLevelType w:val="hybridMultilevel"/>
    <w:tmpl w:val="212053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5C0149"/>
    <w:multiLevelType w:val="hybridMultilevel"/>
    <w:tmpl w:val="73760C16"/>
    <w:lvl w:ilvl="0" w:tplc="88082E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806"/>
    <w:rsid w:val="00016A40"/>
    <w:rsid w:val="00096157"/>
    <w:rsid w:val="000D658C"/>
    <w:rsid w:val="00121BCC"/>
    <w:rsid w:val="00142AAA"/>
    <w:rsid w:val="00254806"/>
    <w:rsid w:val="002618AD"/>
    <w:rsid w:val="0036667B"/>
    <w:rsid w:val="003B795F"/>
    <w:rsid w:val="003C6012"/>
    <w:rsid w:val="003F20E0"/>
    <w:rsid w:val="00450C4E"/>
    <w:rsid w:val="00451958"/>
    <w:rsid w:val="004847E4"/>
    <w:rsid w:val="004C6FC1"/>
    <w:rsid w:val="00556DAB"/>
    <w:rsid w:val="005A06F4"/>
    <w:rsid w:val="005A1A32"/>
    <w:rsid w:val="005C0124"/>
    <w:rsid w:val="005C7333"/>
    <w:rsid w:val="005D5A4C"/>
    <w:rsid w:val="005E6B80"/>
    <w:rsid w:val="006164D9"/>
    <w:rsid w:val="00644A23"/>
    <w:rsid w:val="0065365C"/>
    <w:rsid w:val="00662EBE"/>
    <w:rsid w:val="006964B5"/>
    <w:rsid w:val="006D7410"/>
    <w:rsid w:val="00726E65"/>
    <w:rsid w:val="00792773"/>
    <w:rsid w:val="007A5378"/>
    <w:rsid w:val="007F29CA"/>
    <w:rsid w:val="00830B8B"/>
    <w:rsid w:val="00874BF8"/>
    <w:rsid w:val="008B6841"/>
    <w:rsid w:val="008D4E8F"/>
    <w:rsid w:val="0091774A"/>
    <w:rsid w:val="009778DD"/>
    <w:rsid w:val="0098633B"/>
    <w:rsid w:val="00A6613B"/>
    <w:rsid w:val="00AA69F7"/>
    <w:rsid w:val="00B0530B"/>
    <w:rsid w:val="00B13F85"/>
    <w:rsid w:val="00B34E1E"/>
    <w:rsid w:val="00B712FE"/>
    <w:rsid w:val="00B965F9"/>
    <w:rsid w:val="00BA3D2B"/>
    <w:rsid w:val="00CC464A"/>
    <w:rsid w:val="00D31FE7"/>
    <w:rsid w:val="00D63DF9"/>
    <w:rsid w:val="00EC7ACA"/>
    <w:rsid w:val="00F039EF"/>
    <w:rsid w:val="00F06726"/>
    <w:rsid w:val="00F266A1"/>
    <w:rsid w:val="00F54638"/>
    <w:rsid w:val="00F572F0"/>
    <w:rsid w:val="00FA2E6B"/>
    <w:rsid w:val="00F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2582"/>
  <w15:docId w15:val="{006FBE13-3C9C-439A-9697-26C8698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4C"/>
    <w:pPr>
      <w:widowControl w:val="0"/>
      <w:autoSpaceDE w:val="0"/>
      <w:autoSpaceDN w:val="0"/>
      <w:ind w:firstLine="0"/>
      <w:jc w:val="left"/>
    </w:pPr>
    <w:rPr>
      <w:rFonts w:ascii="CG Times (W1)" w:eastAsia="Times New Roman" w:hAnsi="CG Times (W1)" w:cs="CG Times (W1)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64A"/>
    <w:pPr>
      <w:ind w:firstLine="0"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8633B"/>
    <w:rPr>
      <w:color w:val="0000FF" w:themeColor="hyperlink"/>
      <w:u w:val="single"/>
    </w:rPr>
  </w:style>
  <w:style w:type="character" w:customStyle="1" w:styleId="a5">
    <w:name w:val="Основной текст с отступом Знак"/>
    <w:link w:val="1"/>
    <w:locked/>
    <w:rsid w:val="00B34E1E"/>
    <w:rPr>
      <w:rFonts w:ascii="CG Times (W1)" w:hAnsi="CG Times (W1)"/>
      <w:sz w:val="24"/>
      <w:szCs w:val="24"/>
      <w:shd w:val="clear" w:color="auto" w:fill="FFFFFF"/>
      <w:lang w:val="uk-UA"/>
    </w:rPr>
  </w:style>
  <w:style w:type="paragraph" w:customStyle="1" w:styleId="1">
    <w:name w:val="Основной текст с отступом1"/>
    <w:basedOn w:val="a"/>
    <w:link w:val="a5"/>
    <w:rsid w:val="00B34E1E"/>
    <w:pPr>
      <w:widowControl/>
      <w:shd w:val="clear" w:color="auto" w:fill="FFFFFF"/>
      <w:adjustRightInd w:val="0"/>
      <w:ind w:firstLine="709"/>
    </w:pPr>
    <w:rPr>
      <w:rFonts w:eastAsiaTheme="minorHAnsi" w:cstheme="minorBidi"/>
      <w:sz w:val="24"/>
      <w:szCs w:val="24"/>
      <w:lang w:eastAsia="en-US"/>
    </w:rPr>
  </w:style>
  <w:style w:type="paragraph" w:customStyle="1" w:styleId="Default">
    <w:name w:val="Default"/>
    <w:qFormat/>
    <w:rsid w:val="00AA69F7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zss.org.pl/index.php/14-strony-statyczne/bibliotekatrenera/373-metody-nauczania-ikontroli-taktyki-strzel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odmin</cp:lastModifiedBy>
  <cp:revision>9</cp:revision>
  <dcterms:created xsi:type="dcterms:W3CDTF">2020-10-14T18:06:00Z</dcterms:created>
  <dcterms:modified xsi:type="dcterms:W3CDTF">2021-06-14T06:56:00Z</dcterms:modified>
</cp:coreProperties>
</file>