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5149" w14:textId="55785843" w:rsidR="0046449A" w:rsidRPr="00211E03" w:rsidRDefault="0046449A" w:rsidP="0046449A">
      <w:pPr>
        <w:jc w:val="both"/>
        <w:rPr>
          <w:rFonts w:ascii="Times New Roman" w:hAnsi="Times New Roman" w:cs="Times New Roman"/>
          <w:sz w:val="28"/>
          <w:szCs w:val="28"/>
        </w:rPr>
      </w:pPr>
      <w:r w:rsidRPr="00211E03">
        <w:rPr>
          <w:rFonts w:ascii="Times New Roman" w:hAnsi="Times New Roman" w:cs="Times New Roman"/>
          <w:sz w:val="28"/>
          <w:szCs w:val="28"/>
        </w:rPr>
        <w:t xml:space="preserve">Яланська С.П. Розвиток «soft skills» учасників освітнього процесу нової української школи // </w:t>
      </w:r>
      <w:r w:rsidRPr="00211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Всеукраїнський освітній </w:t>
      </w:r>
      <w:proofErr w:type="spellStart"/>
      <w:r w:rsidRPr="00211E03">
        <w:rPr>
          <w:rFonts w:ascii="Times New Roman" w:hAnsi="Times New Roman" w:cs="Times New Roman"/>
          <w:sz w:val="28"/>
          <w:szCs w:val="28"/>
          <w:shd w:val="clear" w:color="auto" w:fill="FFFFFF"/>
        </w:rPr>
        <w:t>форсайт</w:t>
      </w:r>
      <w:proofErr w:type="spellEnd"/>
      <w:r w:rsidRPr="00211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«Зміст освіти та освітні практики Нової української школи»</w:t>
      </w:r>
      <w:r w:rsidRPr="00211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(Полтава, 28 квітня 2021 року).</w:t>
      </w:r>
    </w:p>
    <w:p w14:paraId="2A9A61BE" w14:textId="076921E0" w:rsidR="006363D8" w:rsidRPr="006363D8" w:rsidRDefault="006363D8" w:rsidP="006363D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63D8">
        <w:rPr>
          <w:rFonts w:ascii="Times New Roman" w:hAnsi="Times New Roman" w:cs="Times New Roman"/>
          <w:b/>
          <w:bCs/>
          <w:sz w:val="28"/>
          <w:szCs w:val="28"/>
        </w:rPr>
        <w:t xml:space="preserve">Світлана Павлівна Яланська </w:t>
      </w:r>
    </w:p>
    <w:p w14:paraId="58386C18" w14:textId="75520096" w:rsidR="006363D8" w:rsidRDefault="00803447" w:rsidP="00803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63D8" w:rsidRPr="006363D8">
        <w:rPr>
          <w:rFonts w:ascii="Times New Roman" w:hAnsi="Times New Roman" w:cs="Times New Roman"/>
          <w:sz w:val="28"/>
          <w:szCs w:val="28"/>
        </w:rPr>
        <w:t>октор психологічних наук, професор, завідувач кафедри психології та педагогіки Національного університету «Полтавська політехніка імені Юрія Кондратюка», м. Полтава, Україна</w:t>
      </w:r>
    </w:p>
    <w:p w14:paraId="556ED6B0" w14:textId="77777777" w:rsidR="00803447" w:rsidRDefault="006363D8" w:rsidP="00803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Соборності 61 а, кв 17., 0506717085, </w:t>
      </w:r>
    </w:p>
    <w:p w14:paraId="6AAE6262" w14:textId="7E95D73A" w:rsidR="006363D8" w:rsidRPr="006363D8" w:rsidRDefault="006363D8" w:rsidP="00803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yalanskasvetlana</w:t>
      </w:r>
      <w:r w:rsidRPr="006363D8">
        <w:rPr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6363D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73FA6C30" w14:textId="77777777" w:rsidR="00803447" w:rsidRDefault="00803447" w:rsidP="00636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FAEEE" w14:textId="1DBCEDC5" w:rsidR="006363D8" w:rsidRPr="006363D8" w:rsidRDefault="006363D8" w:rsidP="00636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3D8">
        <w:rPr>
          <w:rFonts w:ascii="Times New Roman" w:hAnsi="Times New Roman" w:cs="Times New Roman"/>
          <w:b/>
          <w:bCs/>
          <w:sz w:val="28"/>
          <w:szCs w:val="28"/>
        </w:rPr>
        <w:t>РОЗВИТОК «SOFT SKILLS» УЧАСНИКІВ ОСВІТНЬОГО ПРОЦЕСУ НОВОЇ УКРАЇНСЬКОЇ ШКОЛИ</w:t>
      </w:r>
    </w:p>
    <w:p w14:paraId="5C4E904A" w14:textId="13747EA5" w:rsidR="006F31AB" w:rsidRDefault="006F31AB" w:rsidP="009D42E7">
      <w:pPr>
        <w:spacing w:after="0" w:line="240" w:lineRule="auto"/>
        <w:ind w:firstLine="709"/>
        <w:jc w:val="both"/>
        <w:rPr>
          <w:rFonts w:eastAsia="+mn-ea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учасників </w:t>
      </w:r>
      <w:r w:rsidRPr="00F761D8">
        <w:rPr>
          <w:rFonts w:ascii="Times New Roman" w:hAnsi="Times New Roman" w:cs="Times New Roman"/>
          <w:sz w:val="28"/>
          <w:szCs w:val="28"/>
        </w:rPr>
        <w:t>освітн</w:t>
      </w:r>
      <w:r>
        <w:rPr>
          <w:rFonts w:ascii="Times New Roman" w:hAnsi="Times New Roman" w:cs="Times New Roman"/>
          <w:sz w:val="28"/>
          <w:szCs w:val="28"/>
        </w:rPr>
        <w:t>ього</w:t>
      </w:r>
      <w:r w:rsidRPr="00F761D8">
        <w:rPr>
          <w:rFonts w:ascii="Times New Roman" w:hAnsi="Times New Roman" w:cs="Times New Roman"/>
          <w:sz w:val="28"/>
          <w:szCs w:val="28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61D8">
        <w:rPr>
          <w:rFonts w:ascii="Times New Roman" w:hAnsi="Times New Roman" w:cs="Times New Roman"/>
          <w:sz w:val="28"/>
          <w:szCs w:val="28"/>
        </w:rPr>
        <w:t xml:space="preserve"> Нової української школи </w:t>
      </w:r>
      <w:r>
        <w:rPr>
          <w:rFonts w:ascii="Times New Roman" w:hAnsi="Times New Roman" w:cs="Times New Roman"/>
          <w:sz w:val="28"/>
          <w:szCs w:val="28"/>
        </w:rPr>
        <w:t xml:space="preserve">мають бути сформовані та постійно удосконалюватися </w:t>
      </w:r>
      <w:r w:rsidR="00EF515B">
        <w:rPr>
          <w:rFonts w:ascii="Times New Roman" w:hAnsi="Times New Roman" w:cs="Times New Roman"/>
          <w:sz w:val="28"/>
          <w:szCs w:val="28"/>
        </w:rPr>
        <w:t xml:space="preserve">вміння: 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>переконувати, знаходити підхід до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оточуючих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лідирувати, 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толерантно 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>спілкува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>тися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>співпрацювати</w:t>
      </w:r>
      <w:r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в команді, </w:t>
      </w:r>
      <w:r w:rsidRPr="00EF515B">
        <w:rPr>
          <w:rFonts w:ascii="Times New Roman" w:eastAsia="+mn-ea" w:hAnsi="Times New Roman" w:cs="Times New Roman"/>
          <w:kern w:val="24"/>
          <w:sz w:val="28"/>
          <w:szCs w:val="28"/>
        </w:rPr>
        <w:t>креативн</w:t>
      </w:r>
      <w:r w:rsidR="00EF515B" w:rsidRPr="00EF51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о розв’язувати ті чи інші завдання. 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>«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Soft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EF515B" w:rsidRPr="00F761D8">
        <w:rPr>
          <w:rFonts w:ascii="Times New Roman" w:hAnsi="Times New Roman" w:cs="Times New Roman"/>
          <w:sz w:val="28"/>
          <w:szCs w:val="28"/>
        </w:rPr>
        <w:t>s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kills</w:t>
      </w:r>
      <w:r w:rsidR="00EF515B">
        <w:rPr>
          <w:rFonts w:ascii="Times New Roman" w:eastAsia="+mn-ea" w:hAnsi="Times New Roman" w:cs="Times New Roman"/>
          <w:kern w:val="24"/>
          <w:sz w:val="28"/>
          <w:szCs w:val="28"/>
        </w:rPr>
        <w:t>»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дозволяють бути успішним незалежно від специфіки діяльності в як</w:t>
      </w:r>
      <w:r w:rsidR="009D42E7">
        <w:rPr>
          <w:rFonts w:ascii="Times New Roman" w:eastAsia="+mn-ea" w:hAnsi="Times New Roman" w:cs="Times New Roman"/>
          <w:kern w:val="24"/>
          <w:sz w:val="28"/>
          <w:szCs w:val="28"/>
        </w:rPr>
        <w:t>ій</w:t>
      </w:r>
      <w:r w:rsidR="00EF515B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працює людина.</w:t>
      </w:r>
    </w:p>
    <w:p w14:paraId="4DC55409" w14:textId="683A7019" w:rsidR="009D42E7" w:rsidRDefault="009D42E7" w:rsidP="009D42E7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9D42E7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Ключові слова: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соціальні навички, креативність, толерантність, учасники освітнього процесу, Нова українська школа.</w:t>
      </w:r>
    </w:p>
    <w:p w14:paraId="2D49970E" w14:textId="61AC9478" w:rsidR="009D42E7" w:rsidRPr="009D42E7" w:rsidRDefault="009D42E7" w:rsidP="009D4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E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процесса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Новой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украинской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сформированы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постоянно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совершенствоваться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умения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убеждать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находить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подход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окружающим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лидировать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толерантно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общаться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команде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креативно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решать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иные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. «Soft skills»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позволяют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успешным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независимо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специфики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которой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работает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>.</w:t>
      </w:r>
    </w:p>
    <w:p w14:paraId="06505768" w14:textId="7B34B01A" w:rsidR="009D42E7" w:rsidRPr="009D42E7" w:rsidRDefault="009D42E7" w:rsidP="009D4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2E7">
        <w:rPr>
          <w:rFonts w:ascii="Times New Roman" w:hAnsi="Times New Roman" w:cs="Times New Roman"/>
          <w:i/>
          <w:iCs/>
          <w:sz w:val="28"/>
          <w:szCs w:val="28"/>
        </w:rPr>
        <w:t>Ключевые</w:t>
      </w:r>
      <w:proofErr w:type="spellEnd"/>
      <w:r w:rsidRPr="009D42E7">
        <w:rPr>
          <w:rFonts w:ascii="Times New Roman" w:hAnsi="Times New Roman" w:cs="Times New Roman"/>
          <w:i/>
          <w:iCs/>
          <w:sz w:val="28"/>
          <w:szCs w:val="28"/>
        </w:rPr>
        <w:t xml:space="preserve"> слова:</w:t>
      </w:r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социальные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навыки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толерантность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процесса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Новая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украинская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14:paraId="0D36D97E" w14:textId="42AA3778" w:rsidR="009D42E7" w:rsidRPr="009D42E7" w:rsidRDefault="009D42E7" w:rsidP="009D4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Participants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Ukrainian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constantly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skills: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persuade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tolerantly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cooperate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creatively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. «Soft skills»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regardless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>.</w:t>
      </w:r>
    </w:p>
    <w:p w14:paraId="55AF0D7A" w14:textId="0C426336" w:rsidR="009D42E7" w:rsidRPr="009D42E7" w:rsidRDefault="009D42E7" w:rsidP="009D4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E7">
        <w:rPr>
          <w:rFonts w:ascii="Times New Roman" w:hAnsi="Times New Roman" w:cs="Times New Roman"/>
          <w:i/>
          <w:iCs/>
          <w:sz w:val="28"/>
          <w:szCs w:val="28"/>
        </w:rPr>
        <w:t>Key words</w:t>
      </w:r>
      <w:r w:rsidRPr="009D42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skills, creativity,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participants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 xml:space="preserve"> Ukrainian </w:t>
      </w:r>
      <w:proofErr w:type="spellStart"/>
      <w:r w:rsidRPr="009D42E7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D42E7">
        <w:rPr>
          <w:rFonts w:ascii="Times New Roman" w:hAnsi="Times New Roman" w:cs="Times New Roman"/>
          <w:sz w:val="28"/>
          <w:szCs w:val="28"/>
        </w:rPr>
        <w:t>.</w:t>
      </w:r>
    </w:p>
    <w:p w14:paraId="7724726D" w14:textId="77777777" w:rsidR="00803447" w:rsidRDefault="00803447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9B8B4" w14:textId="69157488" w:rsidR="00BF1AB4" w:rsidRPr="00F761D8" w:rsidRDefault="006363D8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проблеми в загальному вигляді та її зв’язок з важливими науковими чи практичними завданнями. </w:t>
      </w:r>
      <w:r w:rsidR="00BF1AB4" w:rsidRPr="00F761D8">
        <w:rPr>
          <w:rFonts w:ascii="Times New Roman" w:hAnsi="Times New Roman" w:cs="Times New Roman"/>
          <w:sz w:val="28"/>
          <w:szCs w:val="28"/>
        </w:rPr>
        <w:t>Досить важливим на сьогодні для кожно</w:t>
      </w:r>
      <w:r w:rsidR="008A79EA">
        <w:rPr>
          <w:rFonts w:ascii="Times New Roman" w:hAnsi="Times New Roman" w:cs="Times New Roman"/>
          <w:sz w:val="28"/>
          <w:szCs w:val="28"/>
        </w:rPr>
        <w:t>ї</w:t>
      </w:r>
      <w:r w:rsidR="00BF1AB4" w:rsidRPr="00F761D8">
        <w:rPr>
          <w:rFonts w:ascii="Times New Roman" w:hAnsi="Times New Roman" w:cs="Times New Roman"/>
          <w:sz w:val="28"/>
          <w:szCs w:val="28"/>
        </w:rPr>
        <w:t xml:space="preserve"> </w:t>
      </w:r>
      <w:r w:rsidR="008A79EA">
        <w:rPr>
          <w:rFonts w:ascii="Times New Roman" w:hAnsi="Times New Roman" w:cs="Times New Roman"/>
          <w:sz w:val="28"/>
          <w:szCs w:val="28"/>
        </w:rPr>
        <w:t>особистості</w:t>
      </w:r>
      <w:r w:rsidR="00BF1AB4" w:rsidRPr="00F761D8">
        <w:rPr>
          <w:rFonts w:ascii="Times New Roman" w:hAnsi="Times New Roman" w:cs="Times New Roman"/>
          <w:sz w:val="28"/>
          <w:szCs w:val="28"/>
        </w:rPr>
        <w:t xml:space="preserve"> є володіння «soft skills»</w:t>
      </w:r>
      <w:r w:rsidR="00EB43D1" w:rsidRPr="00F761D8">
        <w:rPr>
          <w:rFonts w:ascii="Times New Roman" w:hAnsi="Times New Roman" w:cs="Times New Roman"/>
          <w:sz w:val="28"/>
          <w:szCs w:val="28"/>
        </w:rPr>
        <w:t xml:space="preserve"> – загальними, соціальними навичками, що сприяють успішному виконанню професійної діяльності незалежно від фаху. </w:t>
      </w:r>
      <w:bookmarkStart w:id="0" w:name="_Hlk70198923"/>
      <w:r w:rsidR="00EB43D1" w:rsidRPr="00F761D8">
        <w:rPr>
          <w:rFonts w:ascii="Times New Roman" w:hAnsi="Times New Roman" w:cs="Times New Roman"/>
          <w:sz w:val="28"/>
          <w:szCs w:val="28"/>
        </w:rPr>
        <w:t xml:space="preserve">Тому освітній процес Нової української школи </w:t>
      </w:r>
      <w:r w:rsidR="00EB43D1" w:rsidRPr="00F761D8">
        <w:rPr>
          <w:rFonts w:ascii="Times New Roman" w:hAnsi="Times New Roman" w:cs="Times New Roman"/>
          <w:sz w:val="28"/>
          <w:szCs w:val="28"/>
        </w:rPr>
        <w:lastRenderedPageBreak/>
        <w:t>має забезпечувати умови для формування та розвитку таких навичок, що будуть основою для ефективної професійної діяльності у майбутньому.</w:t>
      </w:r>
    </w:p>
    <w:bookmarkEnd w:id="0"/>
    <w:p w14:paraId="47E4F0C3" w14:textId="6B29FD07" w:rsidR="00BD0858" w:rsidRPr="00F761D8" w:rsidRDefault="00F16585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3D8" w:rsidRPr="00F761D8">
        <w:rPr>
          <w:rFonts w:ascii="Times New Roman" w:hAnsi="Times New Roman" w:cs="Times New Roman"/>
          <w:b/>
          <w:bCs/>
          <w:sz w:val="28"/>
          <w:szCs w:val="28"/>
        </w:rPr>
        <w:t>Останні дослідження і публікації</w:t>
      </w:r>
      <w:r w:rsidR="00BD0858"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Перехід до інформаційно-технологічного суспільства, утвердження пріоритетів сталого розвитку, інші </w:t>
      </w:r>
      <w:r w:rsidR="005E53A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перманентні зміни 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потребують </w:t>
      </w:r>
      <w:r w:rsidR="005E53A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постійної 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модернізації освітньої галузі. Перед суспільством постають завдання у забезпеченні пріоритетності розвитку освіти і науки. Сучасне п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>сихолого-педагогічне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бачення освітніх 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>трендів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значною мірою ґрунтується на досягненнях теорії </w:t>
      </w:r>
      <w:r w:rsidR="005E53A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педагогічної та психологічної наук 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(В.Г.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> 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Кремень,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Г.О. Балл, І.Д. Бех, С.У. Гончаренко, М.В.</w:t>
      </w:r>
      <w:r w:rsidR="006F31AB">
        <w:rPr>
          <w:rFonts w:ascii="Times New Roman" w:eastAsia="+mn-ea" w:hAnsi="Times New Roman" w:cs="Times New Roman"/>
          <w:kern w:val="24"/>
          <w:sz w:val="28"/>
          <w:szCs w:val="28"/>
        </w:rPr>
        <w:t> 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Гриньова, А.В.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> 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Іванченко, С.Д. Максименко, В.О. Моляко, А.О. Реан,  В.В. Рибалка, С.О.</w:t>
      </w:r>
      <w:r w:rsidR="00AA67CC">
        <w:rPr>
          <w:rFonts w:ascii="Times New Roman" w:eastAsia="+mn-ea" w:hAnsi="Times New Roman" w:cs="Times New Roman"/>
          <w:kern w:val="24"/>
          <w:sz w:val="28"/>
          <w:szCs w:val="28"/>
        </w:rPr>
        <w:t> </w:t>
      </w:r>
      <w:r w:rsidR="00BD0858" w:rsidRPr="00F761D8">
        <w:rPr>
          <w:rFonts w:ascii="Times New Roman" w:eastAsia="+mn-ea" w:hAnsi="Times New Roman" w:cs="Times New Roman"/>
          <w:kern w:val="24"/>
          <w:sz w:val="28"/>
          <w:szCs w:val="28"/>
        </w:rPr>
        <w:t>Сисоєва, М.М. Солдатенков, М. Д. Ярмаченко та ін.).</w:t>
      </w:r>
    </w:p>
    <w:p w14:paraId="0E114D07" w14:textId="741D3946" w:rsidR="00FF3640" w:rsidRPr="00F761D8" w:rsidRDefault="006363D8" w:rsidP="00F761D8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F761D8">
        <w:rPr>
          <w:rFonts w:ascii="Times New Roman" w:hAnsi="Times New Roman" w:cs="Times New Roman"/>
          <w:sz w:val="28"/>
          <w:szCs w:val="28"/>
        </w:rPr>
        <w:t xml:space="preserve"> </w:t>
      </w:r>
      <w:r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Виділення невирішених частин загальної проблеми, яким присвячується ця стаття. </w:t>
      </w:r>
      <w:r w:rsidR="00FF3640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Згідно закону України «Про освіту» метою освіти є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компетентностей,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</w:t>
      </w:r>
      <w:r w:rsidR="006C4770" w:rsidRPr="00F761D8">
        <w:rPr>
          <w:rFonts w:ascii="Times New Roman" w:eastAsia="+mn-ea" w:hAnsi="Times New Roman" w:cs="Times New Roman"/>
          <w:kern w:val="24"/>
          <w:sz w:val="28"/>
          <w:szCs w:val="28"/>
        </w:rPr>
        <w:t>у</w:t>
      </w:r>
      <w:r w:rsidR="00FF3640" w:rsidRPr="00F761D8">
        <w:rPr>
          <w:rFonts w:ascii="Times New Roman" w:eastAsia="+mn-ea" w:hAnsi="Times New Roman" w:cs="Times New Roman"/>
          <w:kern w:val="24"/>
          <w:sz w:val="28"/>
          <w:szCs w:val="28"/>
        </w:rPr>
        <w:t>країнського народу, підвищення освітнього рівня громадян задля забезпечення сталого розвитку України та її європейського вибору</w:t>
      </w:r>
      <w:r w:rsidR="00D90E4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D90E49" w:rsidRPr="00D90E49">
        <w:rPr>
          <w:rFonts w:ascii="Times New Roman" w:eastAsia="+mn-ea" w:hAnsi="Times New Roman" w:cs="Times New Roman"/>
          <w:kern w:val="24"/>
          <w:sz w:val="28"/>
          <w:szCs w:val="28"/>
        </w:rPr>
        <w:t>[2]</w:t>
      </w:r>
      <w:r w:rsidR="00FF3640" w:rsidRPr="00D90E49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</w:p>
    <w:p w14:paraId="6ACF1A5F" w14:textId="0BB92AEE" w:rsidR="00FF3640" w:rsidRPr="00F761D8" w:rsidRDefault="00FF3640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1D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Soft</w:t>
      </w:r>
      <w:r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8433BF" w:rsidRPr="00F761D8">
        <w:rPr>
          <w:rFonts w:ascii="Times New Roman" w:hAnsi="Times New Roman" w:cs="Times New Roman"/>
          <w:sz w:val="28"/>
          <w:szCs w:val="28"/>
        </w:rPr>
        <w:t>s</w:t>
      </w:r>
      <w:r w:rsidRPr="00F761D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kills</w:t>
      </w:r>
      <w:r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дозволяють бути успішним незалежно від специфіки діяльності та напрямку, в якому працює людина. Традиційно в психології їх відносять до числа соціальних навичок: вміння переконувати, знаходити підхід до людей, лідирувати, міжособистісне спілкування, ведення переговорних процесів, робота в команді, особистісний розвиток, управління часом, ерудованість, креативність і </w:t>
      </w:r>
      <w:proofErr w:type="spellStart"/>
      <w:r w:rsidRPr="00F761D8">
        <w:rPr>
          <w:rFonts w:ascii="Times New Roman" w:eastAsia="+mn-ea" w:hAnsi="Times New Roman" w:cs="Times New Roman"/>
          <w:kern w:val="24"/>
          <w:sz w:val="28"/>
          <w:szCs w:val="28"/>
        </w:rPr>
        <w:t>т.п</w:t>
      </w:r>
      <w:proofErr w:type="spellEnd"/>
      <w:r w:rsidRPr="00F761D8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</w:p>
    <w:p w14:paraId="285A57CD" w14:textId="1F1D6C3E" w:rsidR="00F16585" w:rsidRPr="00F761D8" w:rsidRDefault="006363D8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Формулювання цілей статті. </w:t>
      </w:r>
      <w:r w:rsidR="008433BF" w:rsidRPr="00F761D8">
        <w:rPr>
          <w:rFonts w:ascii="Times New Roman" w:hAnsi="Times New Roman" w:cs="Times New Roman"/>
          <w:sz w:val="28"/>
          <w:szCs w:val="28"/>
        </w:rPr>
        <w:t xml:space="preserve">Розкрити можливості розвитку </w:t>
      </w:r>
      <w:bookmarkStart w:id="1" w:name="_Hlk70197927"/>
      <w:r w:rsidR="006C4770" w:rsidRPr="00F761D8">
        <w:rPr>
          <w:rFonts w:ascii="Times New Roman" w:hAnsi="Times New Roman" w:cs="Times New Roman"/>
          <w:sz w:val="28"/>
          <w:szCs w:val="28"/>
        </w:rPr>
        <w:t xml:space="preserve">«soft skills» </w:t>
      </w:r>
      <w:bookmarkEnd w:id="1"/>
      <w:r w:rsidR="006C4770" w:rsidRPr="00F761D8">
        <w:rPr>
          <w:rFonts w:ascii="Times New Roman" w:hAnsi="Times New Roman" w:cs="Times New Roman"/>
          <w:sz w:val="28"/>
          <w:szCs w:val="28"/>
        </w:rPr>
        <w:t>– загальни</w:t>
      </w:r>
      <w:r w:rsidR="008433BF" w:rsidRPr="00F761D8">
        <w:rPr>
          <w:rFonts w:ascii="Times New Roman" w:hAnsi="Times New Roman" w:cs="Times New Roman"/>
          <w:sz w:val="28"/>
          <w:szCs w:val="28"/>
        </w:rPr>
        <w:t>х</w:t>
      </w:r>
      <w:r w:rsidR="006C4770" w:rsidRPr="00F761D8">
        <w:rPr>
          <w:rFonts w:ascii="Times New Roman" w:hAnsi="Times New Roman" w:cs="Times New Roman"/>
          <w:sz w:val="28"/>
          <w:szCs w:val="28"/>
        </w:rPr>
        <w:t>, соціальни</w:t>
      </w:r>
      <w:r w:rsidR="008433BF" w:rsidRPr="00F761D8">
        <w:rPr>
          <w:rFonts w:ascii="Times New Roman" w:hAnsi="Times New Roman" w:cs="Times New Roman"/>
          <w:sz w:val="28"/>
          <w:szCs w:val="28"/>
        </w:rPr>
        <w:t>х</w:t>
      </w:r>
      <w:r w:rsidR="006C4770" w:rsidRPr="00F761D8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433BF" w:rsidRPr="00F761D8">
        <w:rPr>
          <w:rFonts w:ascii="Times New Roman" w:hAnsi="Times New Roman" w:cs="Times New Roman"/>
          <w:sz w:val="28"/>
          <w:szCs w:val="28"/>
        </w:rPr>
        <w:t>о</w:t>
      </w:r>
      <w:r w:rsidR="006C4770" w:rsidRPr="00F761D8">
        <w:rPr>
          <w:rFonts w:ascii="Times New Roman" w:hAnsi="Times New Roman" w:cs="Times New Roman"/>
          <w:sz w:val="28"/>
          <w:szCs w:val="28"/>
        </w:rPr>
        <w:t>к</w:t>
      </w:r>
      <w:r w:rsidR="008433BF" w:rsidRPr="00F761D8">
        <w:rPr>
          <w:rFonts w:ascii="Times New Roman" w:hAnsi="Times New Roman" w:cs="Times New Roman"/>
          <w:sz w:val="28"/>
          <w:szCs w:val="28"/>
        </w:rPr>
        <w:t xml:space="preserve"> в умовах Нової української школи,</w:t>
      </w:r>
      <w:r w:rsidR="006C4770" w:rsidRPr="00F761D8">
        <w:rPr>
          <w:rFonts w:ascii="Times New Roman" w:hAnsi="Times New Roman" w:cs="Times New Roman"/>
          <w:sz w:val="28"/>
          <w:szCs w:val="28"/>
        </w:rPr>
        <w:t xml:space="preserve"> що </w:t>
      </w:r>
      <w:r w:rsidR="006C4770" w:rsidRPr="00F761D8">
        <w:rPr>
          <w:rFonts w:ascii="Times New Roman" w:hAnsi="Times New Roman" w:cs="Times New Roman"/>
          <w:sz w:val="28"/>
          <w:szCs w:val="28"/>
        </w:rPr>
        <w:lastRenderedPageBreak/>
        <w:t>сприя</w:t>
      </w:r>
      <w:r w:rsidR="008433BF" w:rsidRPr="00F761D8">
        <w:rPr>
          <w:rFonts w:ascii="Times New Roman" w:hAnsi="Times New Roman" w:cs="Times New Roman"/>
          <w:sz w:val="28"/>
          <w:szCs w:val="28"/>
        </w:rPr>
        <w:t xml:space="preserve">тимуть подальшому </w:t>
      </w:r>
      <w:r w:rsidR="006C4770" w:rsidRPr="00F761D8">
        <w:rPr>
          <w:rFonts w:ascii="Times New Roman" w:hAnsi="Times New Roman" w:cs="Times New Roman"/>
          <w:sz w:val="28"/>
          <w:szCs w:val="28"/>
        </w:rPr>
        <w:t>успішному виконанню професійної діяльності незалежно від фаху.</w:t>
      </w:r>
    </w:p>
    <w:p w14:paraId="3DD1E48F" w14:textId="77777777" w:rsidR="00F16585" w:rsidRPr="00F761D8" w:rsidRDefault="006363D8" w:rsidP="00F76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1D8">
        <w:rPr>
          <w:rFonts w:ascii="Times New Roman" w:hAnsi="Times New Roman" w:cs="Times New Roman"/>
          <w:b/>
          <w:bCs/>
          <w:sz w:val="28"/>
          <w:szCs w:val="28"/>
        </w:rPr>
        <w:t>Виклад основного матеріалу дослідження з повним обґрунтуванням отриманих наукових результатів, статистичною обробкою даних.</w:t>
      </w:r>
    </w:p>
    <w:p w14:paraId="2A8CFEE5" w14:textId="700FA99E" w:rsidR="00160D40" w:rsidRPr="00F761D8" w:rsidRDefault="00F45DA9" w:rsidP="00F761D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+mn-ea"/>
          <w:kern w:val="24"/>
          <w:sz w:val="28"/>
          <w:szCs w:val="28"/>
        </w:rPr>
      </w:pPr>
      <w:r w:rsidRPr="00F761D8">
        <w:rPr>
          <w:rFonts w:eastAsia="+mn-ea"/>
          <w:kern w:val="24"/>
          <w:sz w:val="28"/>
          <w:szCs w:val="28"/>
        </w:rPr>
        <w:t xml:space="preserve">Серед важливих </w:t>
      </w:r>
      <w:r w:rsidRPr="00F761D8">
        <w:rPr>
          <w:sz w:val="28"/>
          <w:szCs w:val="28"/>
        </w:rPr>
        <w:t xml:space="preserve">«soft skills» виділяють поняття креативності. </w:t>
      </w:r>
      <w:r w:rsidRPr="00F761D8">
        <w:rPr>
          <w:rFonts w:eastAsia="+mn-ea"/>
          <w:kern w:val="24"/>
          <w:sz w:val="28"/>
          <w:szCs w:val="28"/>
        </w:rPr>
        <w:t>Заслуговує на увагу концепція креативності як універсальної пізнавальної творчої здібності, автором якої є американський психолог Дж. Гілфорд. Розробляючи зазначену проблему, вчений указав на принципове розходження між двома типами розумових операцій: конвергенцією і дивергенцією. Конвергентне мислення актуалізується в тому випадку, коли людині, яка розв’язує задачу, потрібно на основі множини умов знайти єдине правильне рішення. Конкретних рішень може бути і декілька, але ця множина завжди обмежена.</w:t>
      </w:r>
      <w:r w:rsidR="009D42E7">
        <w:rPr>
          <w:rFonts w:eastAsia="+mn-ea"/>
          <w:kern w:val="24"/>
          <w:sz w:val="28"/>
          <w:szCs w:val="28"/>
        </w:rPr>
        <w:t xml:space="preserve"> </w:t>
      </w:r>
      <w:r w:rsidRPr="00F761D8">
        <w:rPr>
          <w:rFonts w:eastAsia="+mn-ea"/>
          <w:kern w:val="24"/>
          <w:sz w:val="28"/>
          <w:szCs w:val="28"/>
        </w:rPr>
        <w:t>Дивергентне мислення визначається як «тип мислення, який рухається в різноманітних напрямках». Такий тип мислення припускає варіювання шляхів вирішення проблеми, призводить до несподіваних висновків і результатів. Дж. Гілфорд вважав операцію дивергенції основою креативності як загальної творчої здібності</w:t>
      </w:r>
      <w:r w:rsidR="00817B7E" w:rsidRPr="00817B7E">
        <w:rPr>
          <w:rFonts w:eastAsia="+mn-ea"/>
          <w:kern w:val="24"/>
          <w:sz w:val="28"/>
          <w:szCs w:val="28"/>
        </w:rPr>
        <w:t xml:space="preserve"> [1]</w:t>
      </w:r>
      <w:r w:rsidRPr="00F761D8">
        <w:rPr>
          <w:rFonts w:eastAsia="+mn-ea"/>
          <w:kern w:val="24"/>
          <w:sz w:val="28"/>
          <w:szCs w:val="28"/>
        </w:rPr>
        <w:t>.</w:t>
      </w:r>
    </w:p>
    <w:p w14:paraId="644A549F" w14:textId="7723D597" w:rsidR="00160D40" w:rsidRPr="00F761D8" w:rsidRDefault="00160D40" w:rsidP="009D42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61D8">
        <w:rPr>
          <w:rFonts w:eastAsia="+mn-ea"/>
          <w:kern w:val="24"/>
          <w:sz w:val="28"/>
          <w:szCs w:val="28"/>
        </w:rPr>
        <w:t>Глибокий науковий інтерес у контексті проблеми розвитку творчості особистості становить запропонована американськими вченими Р. Стернбергом і Д. Лавертом концепція креативності – так звана «теорія інвестування». Ці автори вважають креативними таких людей, які здатні «купувати ідеї за низькою ціною і продавати за високою». «Купувати за низькою ціною» – означає займатися невідомими, невизнаними або малопопулярними ідеями. Завдання полягає в тому, щоб правильно оцінити потенціал їхнього розвитку і можливий попит. Творча людина, всупереч опору середовища, нерозумінню і неприйняттю, наполягає на визначених ідеях і «продає їх за високою ціною». Після досягнення ринкового успіху вона переходить до іншої непопулярної або нової ідеї</w:t>
      </w:r>
      <w:r w:rsidR="009D42E7">
        <w:rPr>
          <w:rFonts w:eastAsia="+mn-ea"/>
          <w:kern w:val="24"/>
          <w:sz w:val="28"/>
          <w:szCs w:val="28"/>
        </w:rPr>
        <w:t>.</w:t>
      </w:r>
      <w:r w:rsidRPr="00F761D8">
        <w:rPr>
          <w:rFonts w:eastAsia="+mn-ea"/>
          <w:kern w:val="24"/>
          <w:sz w:val="28"/>
          <w:szCs w:val="28"/>
        </w:rPr>
        <w:tab/>
        <w:t xml:space="preserve">Р. Стернберг вважає, що людина може не реалізувати свій творчий потенціал у двох випадках: 1) якщо </w:t>
      </w:r>
      <w:r w:rsidRPr="00F761D8">
        <w:rPr>
          <w:rFonts w:eastAsia="+mn-ea"/>
          <w:kern w:val="24"/>
          <w:sz w:val="28"/>
          <w:szCs w:val="28"/>
        </w:rPr>
        <w:lastRenderedPageBreak/>
        <w:t>вона висловлює ідеї передчасно, 2)якщо вона не виносить їх на обговорення занадто довго, після чого ідеї стають очевидними, «застарівають»</w:t>
      </w:r>
      <w:r w:rsidR="00817B7E" w:rsidRPr="00817B7E">
        <w:rPr>
          <w:rFonts w:eastAsia="+mn-ea"/>
          <w:kern w:val="24"/>
          <w:sz w:val="28"/>
          <w:szCs w:val="28"/>
          <w:lang w:val="ru-RU"/>
        </w:rPr>
        <w:t xml:space="preserve"> [3]</w:t>
      </w:r>
      <w:r w:rsidRPr="00F761D8">
        <w:rPr>
          <w:rFonts w:eastAsia="+mn-ea"/>
          <w:kern w:val="24"/>
          <w:sz w:val="28"/>
          <w:szCs w:val="28"/>
        </w:rPr>
        <w:t>.</w:t>
      </w:r>
    </w:p>
    <w:p w14:paraId="75702203" w14:textId="1D3E1F9A" w:rsidR="00F761D8" w:rsidRDefault="009D42E7" w:rsidP="0006104F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Д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ля формування та розвитку </w:t>
      </w:r>
      <w:r w:rsidR="009B506E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соціальних 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компетентностей, активізації пізнавальної, творчої діяльності учасників освітнього процесу можна обрати такий психолого-педагогічний інструментарій, зокрема:</w:t>
      </w:r>
      <w:r w:rsidR="000610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06104F" w:rsidRPr="0006104F">
        <w:rPr>
          <w:rFonts w:ascii="Times New Roman" w:eastAsia="+mn-ea" w:hAnsi="Times New Roman" w:cs="Times New Roman"/>
          <w:kern w:val="24"/>
          <w:sz w:val="28"/>
          <w:szCs w:val="28"/>
        </w:rPr>
        <w:t>г</w:t>
      </w:r>
      <w:r w:rsidR="00F761D8" w:rsidRPr="0006104F">
        <w:rPr>
          <w:rFonts w:ascii="Times New Roman" w:eastAsia="+mn-ea" w:hAnsi="Times New Roman" w:cs="Times New Roman"/>
          <w:kern w:val="24"/>
          <w:sz w:val="28"/>
          <w:szCs w:val="28"/>
        </w:rPr>
        <w:t>ейміфікація – використання ігрових елементів в освітньому процесі</w:t>
      </w:r>
      <w:r w:rsidR="0006104F" w:rsidRPr="0006104F">
        <w:rPr>
          <w:rFonts w:ascii="Times New Roman" w:eastAsia="+mn-ea" w:hAnsi="Times New Roman" w:cs="Times New Roman"/>
          <w:kern w:val="24"/>
          <w:sz w:val="28"/>
          <w:szCs w:val="28"/>
        </w:rPr>
        <w:t>; с</w:t>
      </w:r>
      <w:r w:rsidR="00F761D8" w:rsidRPr="0006104F">
        <w:rPr>
          <w:rFonts w:ascii="Times New Roman" w:eastAsia="+mn-ea" w:hAnsi="Times New Roman" w:cs="Times New Roman"/>
          <w:kern w:val="24"/>
          <w:sz w:val="28"/>
          <w:szCs w:val="28"/>
        </w:rPr>
        <w:t>торітелінг: створення історій для навчання</w:t>
      </w:r>
      <w:r w:rsidR="009B506E">
        <w:rPr>
          <w:rFonts w:ascii="Times New Roman" w:eastAsia="+mn-ea" w:hAnsi="Times New Roman" w:cs="Times New Roman"/>
          <w:kern w:val="24"/>
          <w:sz w:val="28"/>
          <w:szCs w:val="28"/>
        </w:rPr>
        <w:t>,</w:t>
      </w:r>
      <w:r w:rsidR="00F761D8" w:rsidRPr="000610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створення творчого продукту</w:t>
      </w:r>
      <w:r w:rsidR="0006104F" w:rsidRPr="0006104F">
        <w:rPr>
          <w:rFonts w:ascii="Times New Roman" w:eastAsia="+mn-ea" w:hAnsi="Times New Roman" w:cs="Times New Roman"/>
          <w:kern w:val="24"/>
          <w:sz w:val="28"/>
          <w:szCs w:val="28"/>
        </w:rPr>
        <w:t>; с</w:t>
      </w:r>
      <w:r w:rsidR="00F761D8" w:rsidRPr="0006104F">
        <w:rPr>
          <w:rFonts w:ascii="Times New Roman" w:eastAsia="+mn-ea" w:hAnsi="Times New Roman" w:cs="Times New Roman"/>
          <w:kern w:val="24"/>
          <w:sz w:val="28"/>
          <w:szCs w:val="28"/>
        </w:rPr>
        <w:t>крайбінг</w:t>
      </w:r>
      <w:r w:rsidR="00F761D8" w:rsidRPr="00F761D8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-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творча візуалізація </w:t>
      </w:r>
      <w:r w:rsidR="00803447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</w:t>
      </w:r>
      <w:r w:rsidR="009B506E">
        <w:rPr>
          <w:rFonts w:ascii="Times New Roman" w:eastAsia="+mn-ea" w:hAnsi="Times New Roman" w:cs="Times New Roman"/>
          <w:kern w:val="24"/>
          <w:sz w:val="28"/>
          <w:szCs w:val="28"/>
        </w:rPr>
        <w:t>освітньо</w:t>
      </w:r>
      <w:r w:rsidR="00803447">
        <w:rPr>
          <w:rFonts w:ascii="Times New Roman" w:eastAsia="+mn-ea" w:hAnsi="Times New Roman" w:cs="Times New Roman"/>
          <w:kern w:val="24"/>
          <w:sz w:val="28"/>
          <w:szCs w:val="28"/>
        </w:rPr>
        <w:t>му</w:t>
      </w:r>
      <w:r w:rsidR="009B506E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>процес</w:t>
      </w:r>
      <w:r w:rsidR="00803447">
        <w:rPr>
          <w:rFonts w:ascii="Times New Roman" w:eastAsia="+mn-ea" w:hAnsi="Times New Roman" w:cs="Times New Roman"/>
          <w:kern w:val="24"/>
          <w:sz w:val="28"/>
          <w:szCs w:val="28"/>
        </w:rPr>
        <w:t>і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="009B506E">
        <w:rPr>
          <w:rFonts w:ascii="Times New Roman" w:eastAsia="+mn-ea" w:hAnsi="Times New Roman" w:cs="Times New Roman"/>
          <w:kern w:val="24"/>
          <w:sz w:val="28"/>
          <w:szCs w:val="28"/>
        </w:rPr>
        <w:t>І</w:t>
      </w:r>
      <w:r w:rsidR="00F761D8" w:rsidRPr="00F761D8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снує два види скрайбінгу: скрайбінг-презентація та відеоскрайбінг. </w:t>
      </w:r>
    </w:p>
    <w:p w14:paraId="51E282B7" w14:textId="55817C42" w:rsidR="0006104F" w:rsidRPr="0006104F" w:rsidRDefault="009B506E" w:rsidP="009B50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Переконані, що доцільним є використання в освітньому процесі Нової української школи </w:t>
      </w:r>
      <w:r w:rsidR="0006104F" w:rsidRPr="0006104F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и</w:t>
      </w:r>
      <w:r w:rsidR="0006104F" w:rsidRPr="0006104F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розвитку толерантності учнівської молоді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r w:rsidR="0006104F" w:rsidRPr="0006104F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</w:p>
    <w:p w14:paraId="79BD98D1" w14:textId="27FD23EE" w:rsidR="0006104F" w:rsidRPr="0006104F" w:rsidRDefault="0006104F" w:rsidP="0006104F">
      <w:pPr>
        <w:spacing w:before="120"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610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Таблиця 1</w:t>
      </w:r>
      <w:r w:rsidR="00A702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799C912B" w14:textId="77777777" w:rsidR="0006104F" w:rsidRPr="0006104F" w:rsidRDefault="0006104F" w:rsidP="0006104F">
      <w:pPr>
        <w:spacing w:after="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10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Програма формування та розвитку толерантності студентської (учнівської) молоді</w:t>
      </w:r>
    </w:p>
    <w:tbl>
      <w:tblPr>
        <w:tblW w:w="93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2268"/>
        <w:gridCol w:w="6106"/>
      </w:tblGrid>
      <w:tr w:rsidR="0006104F" w:rsidRPr="0006104F" w14:paraId="31F6296B" w14:textId="77777777" w:rsidTr="00A702E4">
        <w:trPr>
          <w:trHeight w:val="682"/>
        </w:trPr>
        <w:tc>
          <w:tcPr>
            <w:tcW w:w="991" w:type="dxa"/>
          </w:tcPr>
          <w:p w14:paraId="067A1995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блоку</w:t>
            </w:r>
          </w:p>
        </w:tc>
        <w:tc>
          <w:tcPr>
            <w:tcW w:w="2268" w:type="dxa"/>
          </w:tcPr>
          <w:p w14:paraId="15341F74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блоку</w:t>
            </w:r>
          </w:p>
        </w:tc>
        <w:tc>
          <w:tcPr>
            <w:tcW w:w="6106" w:type="dxa"/>
          </w:tcPr>
          <w:p w14:paraId="0BA77312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психолого-педагогічні та тренінгові засоби</w:t>
            </w:r>
          </w:p>
        </w:tc>
      </w:tr>
      <w:tr w:rsidR="0006104F" w:rsidRPr="0006104F" w14:paraId="29AA1EF5" w14:textId="77777777" w:rsidTr="00A702E4">
        <w:trPr>
          <w:trHeight w:val="699"/>
        </w:trPr>
        <w:tc>
          <w:tcPr>
            <w:tcW w:w="991" w:type="dxa"/>
          </w:tcPr>
          <w:p w14:paraId="4B9FCA55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14:paraId="4C21FE43" w14:textId="77777777" w:rsidR="0006104F" w:rsidRPr="0006104F" w:rsidRDefault="0006104F" w:rsidP="00A7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ормування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позитивного, екопсихологічного мислення, інтерналізації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загальнолюдських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розуміння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інших культур</w:t>
            </w:r>
          </w:p>
        </w:tc>
        <w:tc>
          <w:tcPr>
            <w:tcW w:w="6106" w:type="dxa"/>
          </w:tcPr>
          <w:p w14:paraId="4F2432F2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Заняття 1. «Що таке толерантність ?»</w:t>
            </w:r>
          </w:p>
          <w:p w14:paraId="3AC34941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1.Вступне слово ведучого.</w:t>
            </w:r>
          </w:p>
          <w:p w14:paraId="70DE0632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2.Вироблення та прийняття правил роботи.</w:t>
            </w:r>
          </w:p>
          <w:p w14:paraId="10A0A63A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Міні-лекція на тему «Толерантність»</w:t>
            </w:r>
          </w:p>
          <w:p w14:paraId="7E15AE7F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 Вправа «Толерантність та особистісний розвиток»</w:t>
            </w:r>
          </w:p>
          <w:p w14:paraId="20D43D84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 Вправа «Вольові зусилля та досягнення мети».</w:t>
            </w:r>
          </w:p>
          <w:p w14:paraId="0948C2B4" w14:textId="77777777" w:rsidR="0006104F" w:rsidRPr="0006104F" w:rsidRDefault="0006104F" w:rsidP="0006104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Рубрика «Чи знаєте, Ви, що…?».</w:t>
            </w:r>
          </w:p>
          <w:p w14:paraId="47622D63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7.Підведення підсумків. </w:t>
            </w:r>
          </w:p>
          <w:p w14:paraId="1C73F912" w14:textId="77777777" w:rsidR="0006104F" w:rsidRPr="0006104F" w:rsidRDefault="0006104F" w:rsidP="0006104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Заняття 2. «Позитивно мислимо»</w:t>
            </w:r>
          </w:p>
          <w:p w14:paraId="2826F3AB" w14:textId="77777777" w:rsidR="0006104F" w:rsidRPr="0006104F" w:rsidRDefault="0006104F" w:rsidP="00A702E4">
            <w:pPr>
              <w:numPr>
                <w:ilvl w:val="1"/>
                <w:numId w:val="1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Вступне слово ведучого.</w:t>
            </w:r>
          </w:p>
          <w:p w14:paraId="795EAF93" w14:textId="77777777" w:rsidR="0006104F" w:rsidRPr="0006104F" w:rsidRDefault="0006104F" w:rsidP="00A702E4">
            <w:pPr>
              <w:numPr>
                <w:ilvl w:val="1"/>
                <w:numId w:val="1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Вироблення та прийняття правил роботи.</w:t>
            </w:r>
          </w:p>
          <w:p w14:paraId="40828D0B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Міні-лекція на тему «Позитивне мислення».</w:t>
            </w:r>
          </w:p>
          <w:p w14:paraId="6B69B589" w14:textId="77777777" w:rsidR="0006104F" w:rsidRPr="0006104F" w:rsidRDefault="0006104F" w:rsidP="00A702E4">
            <w:pPr>
              <w:numPr>
                <w:ilvl w:val="1"/>
                <w:numId w:val="1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Вправа «Проти конфліктів, насильства та дискримінації».</w:t>
            </w:r>
          </w:p>
          <w:p w14:paraId="5166411B" w14:textId="77777777" w:rsidR="0006104F" w:rsidRPr="0006104F" w:rsidRDefault="0006104F" w:rsidP="00A702E4">
            <w:pPr>
              <w:numPr>
                <w:ilvl w:val="1"/>
                <w:numId w:val="1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Вправа «Долаємо стереотипи».</w:t>
            </w:r>
          </w:p>
          <w:p w14:paraId="5ADC77DB" w14:textId="77777777" w:rsidR="0006104F" w:rsidRPr="0006104F" w:rsidRDefault="0006104F" w:rsidP="00A702E4">
            <w:pPr>
              <w:numPr>
                <w:ilvl w:val="1"/>
                <w:numId w:val="1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Рубрика «Чи знаєте, Ви, що…?».</w:t>
            </w:r>
          </w:p>
          <w:p w14:paraId="56EEFE99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 Підведення підсумків.</w:t>
            </w:r>
          </w:p>
        </w:tc>
      </w:tr>
      <w:tr w:rsidR="0006104F" w:rsidRPr="0006104F" w14:paraId="088CBC7A" w14:textId="77777777" w:rsidTr="00A702E4">
        <w:trPr>
          <w:trHeight w:val="557"/>
        </w:trPr>
        <w:tc>
          <w:tcPr>
            <w:tcW w:w="991" w:type="dxa"/>
          </w:tcPr>
          <w:p w14:paraId="75B60C23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</w:tcPr>
          <w:p w14:paraId="63FC82A3" w14:textId="77777777" w:rsidR="0006104F" w:rsidRPr="0006104F" w:rsidRDefault="0006104F" w:rsidP="00A7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Формування та розвиток психологічної, </w:t>
            </w: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стійкості,  саморегуляції</w:t>
            </w:r>
          </w:p>
        </w:tc>
        <w:tc>
          <w:tcPr>
            <w:tcW w:w="6106" w:type="dxa"/>
          </w:tcPr>
          <w:p w14:paraId="692CA504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Заняття 3. «Саморегуляція та </w:t>
            </w:r>
            <w:proofErr w:type="spellStart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копінг</w:t>
            </w:r>
            <w:proofErr w:type="spellEnd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-дії»</w:t>
            </w:r>
          </w:p>
          <w:p w14:paraId="70C389AE" w14:textId="77777777" w:rsidR="0006104F" w:rsidRPr="0006104F" w:rsidRDefault="0006104F" w:rsidP="00A702E4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Вступне слово ведучого.</w:t>
            </w:r>
          </w:p>
          <w:p w14:paraId="1885C263" w14:textId="77777777" w:rsidR="0006104F" w:rsidRPr="0006104F" w:rsidRDefault="0006104F" w:rsidP="00A702E4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Вироблення та прийняття правил роботи.</w:t>
            </w:r>
          </w:p>
          <w:p w14:paraId="5E7F1246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3. Міні-лекція на тему «Саморегуляція та </w:t>
            </w:r>
            <w:proofErr w:type="spellStart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копінг</w:t>
            </w:r>
            <w:proofErr w:type="spellEnd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-дії»</w:t>
            </w:r>
          </w:p>
          <w:p w14:paraId="4BECFE1E" w14:textId="77777777" w:rsidR="0006104F" w:rsidRPr="0006104F" w:rsidRDefault="0006104F" w:rsidP="00A702E4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Вправа «Я володію емпатією».</w:t>
            </w:r>
          </w:p>
          <w:p w14:paraId="5DDD93F2" w14:textId="77777777" w:rsidR="0006104F" w:rsidRPr="0006104F" w:rsidRDefault="0006104F" w:rsidP="00A702E4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Вправа «Проти агресії, заздрощів». </w:t>
            </w:r>
          </w:p>
          <w:p w14:paraId="18819CF5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 Рубрика «Чи знаєте, Ви, що…?».</w:t>
            </w:r>
          </w:p>
          <w:p w14:paraId="3F6F2803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6. Підведення підсумків. </w:t>
            </w:r>
          </w:p>
          <w:p w14:paraId="265EE018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Заняття 4. «Консолідуємось в європейському і світовому просторі»</w:t>
            </w:r>
          </w:p>
          <w:p w14:paraId="20C7CCDE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1.Вступне слово ведучого.</w:t>
            </w:r>
          </w:p>
          <w:p w14:paraId="2C0B1374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Вироблення та прийняття правил роботи.</w:t>
            </w:r>
          </w:p>
          <w:p w14:paraId="3FF60276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Міні-лекція на тему «Культурні універсали»</w:t>
            </w:r>
          </w:p>
          <w:p w14:paraId="5BC940FB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Вправа «Культура миру».</w:t>
            </w:r>
          </w:p>
          <w:p w14:paraId="52CECE66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Рубрика «Чи знаєте, Ви, що…?».</w:t>
            </w:r>
          </w:p>
          <w:p w14:paraId="62D10A80" w14:textId="77777777" w:rsidR="0006104F" w:rsidRPr="0006104F" w:rsidRDefault="0006104F" w:rsidP="00A702E4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Підведення підсумків.</w:t>
            </w:r>
          </w:p>
        </w:tc>
      </w:tr>
      <w:tr w:rsidR="0006104F" w:rsidRPr="0006104F" w14:paraId="58C37BB1" w14:textId="77777777" w:rsidTr="00A702E4">
        <w:trPr>
          <w:trHeight w:val="1076"/>
        </w:trPr>
        <w:tc>
          <w:tcPr>
            <w:tcW w:w="991" w:type="dxa"/>
          </w:tcPr>
          <w:p w14:paraId="1A273DFC" w14:textId="77777777" w:rsidR="0006104F" w:rsidRPr="0006104F" w:rsidRDefault="0006104F" w:rsidP="0006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14:paraId="6E819FB8" w14:textId="77777777" w:rsidR="0006104F" w:rsidRPr="0006104F" w:rsidRDefault="0006104F" w:rsidP="00A7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Набуття досвіду конструктивного діалогу,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розичливого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терпимого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оточуючих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навколишніх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подій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порушують</w:t>
            </w:r>
            <w:proofErr w:type="spellEnd"/>
            <w:r w:rsidRPr="000610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 людини</w:t>
            </w:r>
          </w:p>
        </w:tc>
        <w:tc>
          <w:tcPr>
            <w:tcW w:w="6106" w:type="dxa"/>
          </w:tcPr>
          <w:p w14:paraId="7DD9585E" w14:textId="77777777" w:rsidR="0006104F" w:rsidRPr="0006104F" w:rsidRDefault="0006104F" w:rsidP="0006104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Заняття 5. «Міжособистісна, соціальна, міжкультурна взаємодія </w:t>
            </w:r>
            <w:proofErr w:type="spellStart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взаємодія</w:t>
            </w:r>
            <w:proofErr w:type="spellEnd"/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61FF82D" w14:textId="77777777" w:rsidR="0006104F" w:rsidRPr="0006104F" w:rsidRDefault="0006104F" w:rsidP="00A702E4">
            <w:pPr>
              <w:numPr>
                <w:ilvl w:val="0"/>
                <w:numId w:val="3"/>
              </w:numPr>
              <w:tabs>
                <w:tab w:val="left" w:pos="155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Вступне слово ведучого.</w:t>
            </w:r>
          </w:p>
          <w:p w14:paraId="63808AB8" w14:textId="77777777" w:rsidR="0006104F" w:rsidRPr="0006104F" w:rsidRDefault="0006104F" w:rsidP="00A702E4">
            <w:pPr>
              <w:numPr>
                <w:ilvl w:val="0"/>
                <w:numId w:val="3"/>
              </w:numPr>
              <w:tabs>
                <w:tab w:val="left" w:pos="155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Вироблення та прийняття правил роботи.</w:t>
            </w:r>
          </w:p>
          <w:p w14:paraId="5556B3C5" w14:textId="77777777" w:rsidR="0006104F" w:rsidRPr="0006104F" w:rsidRDefault="0006104F" w:rsidP="00A702E4">
            <w:pPr>
              <w:tabs>
                <w:tab w:val="left" w:pos="155"/>
                <w:tab w:val="left" w:pos="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3.Міні-лекція на тему «Міжособистісна, соціальна, міжкультурна взаємодія».</w:t>
            </w:r>
          </w:p>
          <w:p w14:paraId="7A3B813A" w14:textId="77777777" w:rsidR="0006104F" w:rsidRPr="0006104F" w:rsidRDefault="0006104F" w:rsidP="00A702E4">
            <w:pPr>
              <w:tabs>
                <w:tab w:val="left" w:pos="155"/>
                <w:tab w:val="left" w:pos="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4.Вправа «Правила толерантного спілкування».</w:t>
            </w:r>
          </w:p>
          <w:p w14:paraId="57D98727" w14:textId="77777777" w:rsidR="0006104F" w:rsidRPr="0006104F" w:rsidRDefault="0006104F" w:rsidP="00A702E4">
            <w:pPr>
              <w:tabs>
                <w:tab w:val="left" w:pos="155"/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5.Вправа «Кожен з нас особистість».</w:t>
            </w:r>
          </w:p>
          <w:p w14:paraId="4F22D163" w14:textId="77777777" w:rsidR="0006104F" w:rsidRPr="0006104F" w:rsidRDefault="0006104F" w:rsidP="00A702E4">
            <w:pPr>
              <w:tabs>
                <w:tab w:val="left" w:pos="155"/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6.Рубрика «Чи знаєте, Ви, що…?».</w:t>
            </w:r>
          </w:p>
          <w:p w14:paraId="05C7A43A" w14:textId="77777777" w:rsidR="0006104F" w:rsidRPr="0006104F" w:rsidRDefault="0006104F" w:rsidP="00A702E4">
            <w:pPr>
              <w:tabs>
                <w:tab w:val="left" w:pos="155"/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  Підведення підсумків.</w:t>
            </w:r>
          </w:p>
          <w:p w14:paraId="56F3EFB4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Заняття 6. «Від розуміння та співпереживання до дій!..»</w:t>
            </w:r>
          </w:p>
          <w:p w14:paraId="673FB3CA" w14:textId="77777777" w:rsidR="0006104F" w:rsidRPr="0006104F" w:rsidRDefault="0006104F" w:rsidP="00A702E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Вступне слово ведучого.</w:t>
            </w:r>
          </w:p>
          <w:p w14:paraId="11E13FB3" w14:textId="77777777" w:rsidR="0006104F" w:rsidRPr="0006104F" w:rsidRDefault="0006104F" w:rsidP="00A702E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Вироблення та прийняття правил роботи.</w:t>
            </w:r>
          </w:p>
          <w:p w14:paraId="09557E69" w14:textId="77777777" w:rsidR="0006104F" w:rsidRPr="0006104F" w:rsidRDefault="0006104F" w:rsidP="00A702E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Вправа «Допоможи іншому словом та ділом».</w:t>
            </w:r>
          </w:p>
          <w:p w14:paraId="2FDF4774" w14:textId="77777777" w:rsidR="0006104F" w:rsidRPr="0006104F" w:rsidRDefault="0006104F" w:rsidP="00A702E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Рубрика «Чи знаєте, Ви, що…?».</w:t>
            </w:r>
          </w:p>
          <w:p w14:paraId="23C507A8" w14:textId="77777777" w:rsidR="0006104F" w:rsidRPr="0006104F" w:rsidRDefault="0006104F" w:rsidP="00A702E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10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 Підведення підсумків.</w:t>
            </w:r>
          </w:p>
        </w:tc>
      </w:tr>
    </w:tbl>
    <w:p w14:paraId="190A4855" w14:textId="2CA55B95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>З таблиці 1 зрозуміло, що програма складається із сукупності блоків, які представлені психолого-педагогічними та тренінговими засобами, спрямованими на розвиток готовності до адекватного і повного пізнання власних можливостей та сформованості толерантності</w:t>
      </w:r>
      <w:r w:rsidR="00817B7E" w:rsidRPr="0081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[4]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Програма передбачає забезпечення психолого-педагогічних засобів, що сприяють формуванню та розвитку толерантності учнівської молоді. Учні</w:t>
      </w:r>
      <w:r w:rsidR="003C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осмислюють уявлення, що склалися про себе та інших. Учасники програми отримують інформацію про те, як вони виглядають в очах інших людей; як їх дії та вчинки 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сприймаються іншими. Доцільним є проведення блоків програми під час виховних занять з учнями, засідань психологічних гуртків</w:t>
      </w:r>
      <w:r w:rsidR="0047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ін. </w:t>
      </w:r>
    </w:p>
    <w:p w14:paraId="3A8590F0" w14:textId="06A26005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Розглянемо особливості складових блоків програми.  </w:t>
      </w:r>
    </w:p>
    <w:p w14:paraId="31161989" w14:textId="77777777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eastAsia="ru-RU"/>
        </w:rPr>
        <w:t xml:space="preserve">Блок №1. «Формування та розвиток позитивного, екопсихологічного мислення, інтерналізації загальнолюдських цінностей та розуміння цінностей інших культур». Забезпечує розвиток показників когнітивного компоненту толерантності. Формує </w:t>
      </w:r>
      <w:r w:rsidRPr="000610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прагнення до самовдосконалення, мотивує до творчої самореалізації, забезпечує розвиток позитивного мислення, організацію навчально-виховного процесу, що сприяє глибокому сприйняттю і розумінню загальнолюдських цінностей.</w:t>
      </w:r>
    </w:p>
    <w:p w14:paraId="37DE6826" w14:textId="77777777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Блок №2. «Формування та розвиток психологічної стійкості,  саморегуляції» розрахований на розвиток показників емоційного компоненту толерантності особистості. Його зміст передбачає мотивацію 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доброзичливого, терпимого ставлення до оточуючих; спонукає </w:t>
      </w:r>
      <w:r w:rsidRPr="0006104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 уникнення агресії, заздрощів. Обов’язковим є проведення всіх складових блоку програми, що інтегрують в собі психолого-педагогічні засоби. </w:t>
      </w:r>
    </w:p>
    <w:p w14:paraId="6A4E494D" w14:textId="39D70CD5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№3. «Набуття досвіду конструктивного діалогу,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розичливого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терпимого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ставлення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оточуючих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навколишніх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подій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порушують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людини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розрахований на розвиток показників поведінкового компоненту толерантності особистості. Його зміст спонукає до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позитивних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вчинків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взаєморозуміння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6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взаємодопомоги</w:t>
      </w:r>
      <w:proofErr w:type="spellEnd"/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забезпечення конструктивного постійного зворотного зв’язку</w:t>
      </w:r>
      <w:r w:rsidR="00817B7E" w:rsidRPr="00817B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[4]</w:t>
      </w: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5F0476" w14:textId="39D4C77B" w:rsidR="0006104F" w:rsidRPr="0006104F" w:rsidRDefault="0006104F" w:rsidP="00A702E4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психолого-педагогічних та тренінгових засобів являє собою сукупність вправ, творчих завдань, рольових, ділових ігор, міні-лекцій для розвитку толерантності учнів. </w:t>
      </w:r>
    </w:p>
    <w:p w14:paraId="68A861E1" w14:textId="70992F64" w:rsidR="00F16585" w:rsidRDefault="006363D8" w:rsidP="00A702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1D8">
        <w:rPr>
          <w:rFonts w:ascii="Times New Roman" w:hAnsi="Times New Roman" w:cs="Times New Roman"/>
          <w:b/>
          <w:bCs/>
          <w:sz w:val="28"/>
          <w:szCs w:val="28"/>
        </w:rPr>
        <w:t>Висновки і перспективи подальших досліджень у цьому напрямку.</w:t>
      </w:r>
    </w:p>
    <w:p w14:paraId="09ADA746" w14:textId="2BC103A5" w:rsidR="000D3D93" w:rsidRDefault="000D3D93" w:rsidP="00A70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переконані, що</w:t>
      </w:r>
      <w:r w:rsidRPr="00F761D8">
        <w:rPr>
          <w:rFonts w:ascii="Times New Roman" w:hAnsi="Times New Roman" w:cs="Times New Roman"/>
          <w:sz w:val="28"/>
          <w:szCs w:val="28"/>
        </w:rPr>
        <w:t xml:space="preserve"> освітній процес Нової української школи має забезпечувати умови для формування та розвитку </w:t>
      </w:r>
      <w:r w:rsidR="00CA1C84"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Pr="00F761D8">
        <w:rPr>
          <w:rFonts w:ascii="Times New Roman" w:hAnsi="Times New Roman" w:cs="Times New Roman"/>
          <w:sz w:val="28"/>
          <w:szCs w:val="28"/>
        </w:rPr>
        <w:t>навичок, що будуть основою для ефективної професійної діяльності у майбутньому.</w:t>
      </w:r>
      <w:r w:rsidR="00817B7E" w:rsidRPr="00817B7E">
        <w:rPr>
          <w:rFonts w:ascii="Times New Roman" w:hAnsi="Times New Roman" w:cs="Times New Roman"/>
          <w:sz w:val="28"/>
          <w:szCs w:val="28"/>
        </w:rPr>
        <w:t xml:space="preserve"> </w:t>
      </w:r>
      <w:r w:rsidR="00817B7E">
        <w:rPr>
          <w:rFonts w:ascii="Times New Roman" w:hAnsi="Times New Roman" w:cs="Times New Roman"/>
          <w:sz w:val="28"/>
          <w:szCs w:val="28"/>
        </w:rPr>
        <w:t xml:space="preserve">Доцільним є використання </w:t>
      </w:r>
      <w:r w:rsidR="006B5B6E">
        <w:rPr>
          <w:rFonts w:ascii="Times New Roman" w:hAnsi="Times New Roman" w:cs="Times New Roman"/>
          <w:sz w:val="28"/>
          <w:szCs w:val="28"/>
        </w:rPr>
        <w:t xml:space="preserve">різних психолого-педагогічних засобів, які </w:t>
      </w:r>
      <w:r w:rsidR="003C5560">
        <w:rPr>
          <w:rFonts w:ascii="Times New Roman" w:hAnsi="Times New Roman" w:cs="Times New Roman"/>
          <w:sz w:val="28"/>
          <w:szCs w:val="28"/>
        </w:rPr>
        <w:lastRenderedPageBreak/>
        <w:t xml:space="preserve">сприяють розвитку креативності, вмінням працювати в команді, толерантно ставитися до оточуючих. </w:t>
      </w:r>
    </w:p>
    <w:p w14:paraId="26B58B2A" w14:textId="0919D884" w:rsidR="00D90E49" w:rsidRPr="00817B7E" w:rsidRDefault="00D90E49" w:rsidP="00A70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Перспективною є розробка елементів </w:t>
      </w:r>
      <w:r w:rsidRPr="0006104F">
        <w:rPr>
          <w:rFonts w:ascii="Times New Roman" w:eastAsia="+mn-ea" w:hAnsi="Times New Roman" w:cs="Times New Roman"/>
          <w:kern w:val="24"/>
          <w:sz w:val="28"/>
          <w:szCs w:val="28"/>
        </w:rPr>
        <w:t>гейміфікаці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ї, засобів</w:t>
      </w:r>
      <w:r w:rsidRPr="000610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сторітелінг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у</w:t>
      </w:r>
      <w:r w:rsidRPr="0006104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скрайбінг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у для ефективного вивчення різних предметів шкільного курсу з урахуванням вікових особливостей учасників освітнього процесу.</w:t>
      </w:r>
    </w:p>
    <w:p w14:paraId="36C4B897" w14:textId="2D250B82" w:rsidR="00710EF8" w:rsidRDefault="00F16585" w:rsidP="00A702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3D8" w:rsidRPr="00F761D8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  <w:r w:rsidR="006124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63D8" w:rsidRPr="00F76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8F5FF9" w14:textId="5C18FCC0" w:rsidR="00431CF3" w:rsidRDefault="00431CF3" w:rsidP="007E089B">
      <w:pPr>
        <w:numPr>
          <w:ilvl w:val="0"/>
          <w:numId w:val="5"/>
        </w:numPr>
        <w:tabs>
          <w:tab w:val="left" w:pos="1134"/>
          <w:tab w:val="left" w:pos="226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</w:pPr>
      <w:bookmarkStart w:id="2" w:name="_Hlk66661966"/>
      <w:r w:rsidRPr="00431CF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Гилфорд Дж. Три стороны интеллекта. Психология мышления / ред. А. М. Матюшкин. Москва, 1965.  С.</w:t>
      </w:r>
      <w:r w:rsidRPr="00431CF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 </w:t>
      </w:r>
      <w:r w:rsidRPr="00431CF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433–456.</w:t>
      </w:r>
    </w:p>
    <w:p w14:paraId="45A528E4" w14:textId="0E0C88C1" w:rsidR="00817B7E" w:rsidRPr="00817B7E" w:rsidRDefault="00817B7E" w:rsidP="007E089B">
      <w:pPr>
        <w:numPr>
          <w:ilvl w:val="0"/>
          <w:numId w:val="5"/>
        </w:numPr>
        <w:tabs>
          <w:tab w:val="left" w:pos="1134"/>
          <w:tab w:val="left" w:pos="226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</w:pPr>
      <w:r w:rsidRPr="00817B7E">
        <w:rPr>
          <w:rFonts w:ascii="Times New Roman" w:hAnsi="Times New Roman" w:cs="Times New Roman"/>
          <w:sz w:val="28"/>
          <w:szCs w:val="28"/>
        </w:rPr>
        <w:t>Закон України «</w:t>
      </w:r>
      <w:hyperlink r:id="rId5" w:anchor="Text" w:history="1">
        <w:r w:rsidRPr="00817B7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освіту» від 05.09.2017 № 2145-VIII 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Режим доступу: </w:t>
        </w:r>
        <w:r w:rsidRPr="00817B7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(rada.gov.ua)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75958A0" w14:textId="77777777" w:rsidR="007E089B" w:rsidRDefault="00341F18" w:rsidP="007E089B">
      <w:pPr>
        <w:numPr>
          <w:ilvl w:val="0"/>
          <w:numId w:val="5"/>
        </w:numPr>
        <w:tabs>
          <w:tab w:val="left" w:pos="1134"/>
          <w:tab w:val="left" w:pos="226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</w:pPr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Яланська С. П. Психологія творчості: </w:t>
      </w:r>
      <w:proofErr w:type="spellStart"/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навч</w:t>
      </w:r>
      <w:proofErr w:type="spellEnd"/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п</w:t>
      </w:r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 </w:t>
      </w:r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– 2-ге вид. </w:t>
      </w:r>
      <w:proofErr w:type="gramStart"/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Полтава :</w:t>
      </w:r>
      <w:proofErr w:type="gramEnd"/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 ПНПУ імені В.Г. Короленка, 2018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>.</w:t>
      </w:r>
      <w:r w:rsidRPr="00341F1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  <w:t xml:space="preserve"> 180 с.</w:t>
      </w:r>
    </w:p>
    <w:p w14:paraId="48A4E663" w14:textId="5214143D" w:rsidR="007E089B" w:rsidRPr="007E089B" w:rsidRDefault="007E089B" w:rsidP="007E089B">
      <w:pPr>
        <w:numPr>
          <w:ilvl w:val="0"/>
          <w:numId w:val="5"/>
        </w:numPr>
        <w:tabs>
          <w:tab w:val="left" w:pos="1134"/>
          <w:tab w:val="left" w:pos="226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</w:pPr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Tolerance, Volunteerism and </w:t>
      </w:r>
      <w:proofErr w:type="gramStart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Leadership :</w:t>
      </w:r>
      <w:proofErr w:type="gramEnd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 textbook / authors. : Inga </w:t>
      </w:r>
      <w:proofErr w:type="spellStart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Kapustian</w:t>
      </w:r>
      <w:proofErr w:type="spellEnd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, Svitlana Yalanska, </w:t>
      </w:r>
      <w:proofErr w:type="spellStart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Tetiana</w:t>
      </w:r>
      <w:proofErr w:type="spellEnd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Nikolashina</w:t>
      </w:r>
      <w:proofErr w:type="spellEnd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 et.al. – </w:t>
      </w:r>
      <w:proofErr w:type="gramStart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Poltava :</w:t>
      </w:r>
      <w:proofErr w:type="gramEnd"/>
      <w:r w:rsidRPr="007E089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 Publishing House «Simon», 2016. – 50 p.</w:t>
      </w:r>
    </w:p>
    <w:p w14:paraId="647B0496" w14:textId="77777777" w:rsidR="007E089B" w:rsidRPr="00431CF3" w:rsidRDefault="007E089B" w:rsidP="007E089B">
      <w:pPr>
        <w:tabs>
          <w:tab w:val="left" w:pos="1134"/>
          <w:tab w:val="left" w:pos="226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</w:pPr>
    </w:p>
    <w:bookmarkEnd w:id="2"/>
    <w:p w14:paraId="013755DE" w14:textId="77777777" w:rsidR="00CA1C84" w:rsidRPr="007E089B" w:rsidRDefault="00CA1C84" w:rsidP="00341F18">
      <w:pPr>
        <w:tabs>
          <w:tab w:val="left" w:pos="1134"/>
          <w:tab w:val="left" w:pos="2268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CA1C84" w:rsidRPr="007E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549"/>
    <w:multiLevelType w:val="multilevel"/>
    <w:tmpl w:val="3D94C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51" w:hanging="360"/>
      </w:pPr>
      <w:rPr>
        <w:rFonts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C9E098B"/>
    <w:multiLevelType w:val="hybridMultilevel"/>
    <w:tmpl w:val="C2E8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D0F"/>
    <w:multiLevelType w:val="hybridMultilevel"/>
    <w:tmpl w:val="73B2D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40254"/>
    <w:multiLevelType w:val="hybridMultilevel"/>
    <w:tmpl w:val="0352D98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494516C4"/>
    <w:multiLevelType w:val="hybridMultilevel"/>
    <w:tmpl w:val="9408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C"/>
    <w:rsid w:val="00014896"/>
    <w:rsid w:val="0006104F"/>
    <w:rsid w:val="000D3D93"/>
    <w:rsid w:val="00160D40"/>
    <w:rsid w:val="001824BE"/>
    <w:rsid w:val="00211E03"/>
    <w:rsid w:val="00307E9F"/>
    <w:rsid w:val="00341F18"/>
    <w:rsid w:val="003C3C98"/>
    <w:rsid w:val="003C5560"/>
    <w:rsid w:val="00431CF3"/>
    <w:rsid w:val="0046449A"/>
    <w:rsid w:val="00473BE0"/>
    <w:rsid w:val="005E53A4"/>
    <w:rsid w:val="006124F1"/>
    <w:rsid w:val="006363D8"/>
    <w:rsid w:val="006B5B6E"/>
    <w:rsid w:val="006C4770"/>
    <w:rsid w:val="006F31AB"/>
    <w:rsid w:val="00710EF8"/>
    <w:rsid w:val="007E089B"/>
    <w:rsid w:val="007F3E8F"/>
    <w:rsid w:val="00803447"/>
    <w:rsid w:val="00817B7E"/>
    <w:rsid w:val="008433BF"/>
    <w:rsid w:val="008A79EA"/>
    <w:rsid w:val="008D5863"/>
    <w:rsid w:val="009B506E"/>
    <w:rsid w:val="009D42E7"/>
    <w:rsid w:val="00A702E4"/>
    <w:rsid w:val="00AA67CC"/>
    <w:rsid w:val="00BC2AEF"/>
    <w:rsid w:val="00BD0858"/>
    <w:rsid w:val="00BF1AB4"/>
    <w:rsid w:val="00CA1C84"/>
    <w:rsid w:val="00D90E49"/>
    <w:rsid w:val="00E35DAE"/>
    <w:rsid w:val="00E93EFC"/>
    <w:rsid w:val="00EB43D1"/>
    <w:rsid w:val="00EF397C"/>
    <w:rsid w:val="00EF515B"/>
    <w:rsid w:val="00F14AFE"/>
    <w:rsid w:val="00F16585"/>
    <w:rsid w:val="00F45DA9"/>
    <w:rsid w:val="00F761D8"/>
    <w:rsid w:val="00FB3FC2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7CE6"/>
  <w15:chartTrackingRefBased/>
  <w15:docId w15:val="{651A0681-05B0-45A3-939D-884A7E86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E089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17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8008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2021-04-25T08:41:00Z</dcterms:created>
  <dcterms:modified xsi:type="dcterms:W3CDTF">2021-06-08T20:13:00Z</dcterms:modified>
</cp:coreProperties>
</file>