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E5" w:rsidRPr="00B52770" w:rsidRDefault="00430DE5" w:rsidP="00B5277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24968" w:rsidRPr="00B52770" w:rsidRDefault="00424968" w:rsidP="00B52770">
      <w:pPr>
        <w:spacing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52770">
        <w:rPr>
          <w:rFonts w:ascii="Times New Roman" w:hAnsi="Times New Roman" w:cs="Times New Roman"/>
          <w:i/>
          <w:sz w:val="24"/>
          <w:szCs w:val="24"/>
        </w:rPr>
        <w:t xml:space="preserve">Галаур С.П. </w:t>
      </w:r>
      <w:r w:rsidRPr="00B52770">
        <w:rPr>
          <w:rFonts w:ascii="Times New Roman" w:eastAsia="Times New Roman" w:hAnsi="Times New Roman" w:cs="Times New Roman"/>
          <w:i/>
          <w:kern w:val="36"/>
          <w:sz w:val="24"/>
          <w:szCs w:val="24"/>
          <w:lang w:val="uk-UA" w:eastAsia="ru-RU"/>
        </w:rPr>
        <w:t>Ч</w:t>
      </w:r>
      <w:r w:rsidRPr="00B52770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инники формування просторового значення в семантико-синтаксичній структурі речення з префіксально-прийменниковою кореляцією</w:t>
      </w:r>
      <w:r w:rsidRPr="00B52770">
        <w:rPr>
          <w:rFonts w:ascii="Times New Roman" w:eastAsia="Times New Roman" w:hAnsi="Times New Roman" w:cs="Times New Roman"/>
          <w:i/>
          <w:kern w:val="36"/>
          <w:sz w:val="24"/>
          <w:szCs w:val="24"/>
          <w:lang w:val="uk-UA" w:eastAsia="ru-RU"/>
        </w:rPr>
        <w:t xml:space="preserve"> </w:t>
      </w:r>
      <w:r w:rsidRPr="00B52770">
        <w:rPr>
          <w:rFonts w:ascii="Times New Roman" w:hAnsi="Times New Roman" w:cs="Times New Roman"/>
          <w:i/>
          <w:sz w:val="24"/>
          <w:szCs w:val="24"/>
        </w:rPr>
        <w:t>/ С.П. Галаур</w:t>
      </w:r>
      <w:r w:rsidRPr="00B5277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// Лінгвістичні студії. – 2008. – Вип. 17. – С. 57-</w:t>
      </w:r>
      <w:r w:rsidR="00F04BE2" w:rsidRPr="00B52770">
        <w:rPr>
          <w:rFonts w:ascii="Times New Roman" w:hAnsi="Times New Roman" w:cs="Times New Roman"/>
          <w:i/>
          <w:sz w:val="24"/>
          <w:szCs w:val="24"/>
          <w:lang w:val="uk-UA"/>
        </w:rPr>
        <w:t>61.</w:t>
      </w:r>
    </w:p>
    <w:p w:rsidR="00F04BE2" w:rsidRPr="00B52770" w:rsidRDefault="00F04BE2" w:rsidP="00B52770">
      <w:pPr>
        <w:spacing w:line="276" w:lineRule="auto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  <w:lang w:val="uk-UA" w:eastAsia="ru-RU"/>
        </w:rPr>
      </w:pPr>
      <w:r w:rsidRPr="00B52770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Галаур Світлана </w:t>
      </w:r>
      <w:r w:rsidRPr="00B52770">
        <w:rPr>
          <w:rFonts w:ascii="Times New Roman" w:eastAsia="Times New Roman" w:hAnsi="Times New Roman" w:cs="Times New Roman"/>
          <w:i/>
          <w:kern w:val="36"/>
          <w:sz w:val="24"/>
          <w:szCs w:val="24"/>
          <w:lang w:val="uk-UA" w:eastAsia="ru-RU"/>
        </w:rPr>
        <w:t>(Полтава)</w:t>
      </w:r>
    </w:p>
    <w:p w:rsidR="00F04BE2" w:rsidRPr="00B52770" w:rsidRDefault="00F04BE2" w:rsidP="00B52770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52770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Ч</w:t>
      </w:r>
      <w:r w:rsidRPr="00B5277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инники формування просторового значення в семантико-синтаксичній</w:t>
      </w:r>
    </w:p>
    <w:p w:rsidR="00F04BE2" w:rsidRPr="00B52770" w:rsidRDefault="00F04BE2" w:rsidP="00B5277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5277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структурі речення з префіксально-прийменниковою кореляцією</w:t>
      </w:r>
    </w:p>
    <w:p w:rsidR="00424968" w:rsidRPr="00B52770" w:rsidRDefault="00424968" w:rsidP="00B52770">
      <w:pPr>
        <w:spacing w:line="276" w:lineRule="auto"/>
        <w:jc w:val="both"/>
        <w:rPr>
          <w:rFonts w:ascii="Times New Roman" w:hAnsi="Times New Roman" w:cs="Times New Roman"/>
          <w:color w:val="8F8F8F"/>
          <w:sz w:val="24"/>
          <w:szCs w:val="24"/>
          <w:shd w:val="clear" w:color="auto" w:fill="FFFFFF"/>
        </w:rPr>
      </w:pP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Стаття є спробою з’ясування основних чинників формування локативної семантики в реченнєвих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структурах, де кореляція префікса та прийменника регламентує семантико-синтаксичну валентність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дієслівного предиката. У поле зору потрапляють функції та взаємозв’язок компонентів у ланцюгу “префікс –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дієслово – прийменник – іменник”, що є фрагментом речення, у якому предикат уточнюється просторовими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характеристиками.</w:t>
      </w:r>
      <w:r w:rsidRPr="00B52770">
        <w:rPr>
          <w:rFonts w:ascii="Times New Roman" w:hAnsi="Times New Roman" w:cs="Times New Roman"/>
          <w:sz w:val="24"/>
          <w:szCs w:val="24"/>
        </w:rPr>
        <w:br/>
      </w:r>
      <w:r w:rsidRPr="00B5277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Ключові слова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: префіксально-прийменникова кореляція, валентність дієслівного предиката, локативні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ідношення, акціонально-локативний предикат, принцип 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елекційності</w:t>
      </w:r>
      <w:r w:rsidRPr="00B52770">
        <w:rPr>
          <w:rFonts w:ascii="Times New Roman" w:hAnsi="Times New Roman" w:cs="Times New Roman"/>
          <w:color w:val="8F8F8F"/>
          <w:sz w:val="24"/>
          <w:szCs w:val="24"/>
          <w:shd w:val="clear" w:color="auto" w:fill="FFFFFF"/>
        </w:rPr>
        <w:t>.</w:t>
      </w:r>
    </w:p>
    <w:p w:rsidR="004E4B4D" w:rsidRPr="00B52770" w:rsidRDefault="00424968" w:rsidP="00B52770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 префіксально-прийменникової кореляції (далі ППК) та взаємозв’язку компонентів речення в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ланцюгу “префікс – дієслово – прийменник – іменник” неодноразово розглядалася лінгвістами у зв’язку з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дослідженням на тлі теорії сильного/слабкого керування дієслів, синтагматики вербативів руху (Є.М. Галкіна-Федорук, М.Д. Лєсник, М.М. Прокопович, О.С. Скоблікова та ін.). Сучасна синтаксична наука вимагає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всебічного розкриття особливостей механізму взаємодії в структурі речення формально-граматичної і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семантичної валентності, тому актуальною є характеристика ППК із семантико-синтаксичного погляду.</w:t>
      </w:r>
      <w:r w:rsidRPr="00B52770">
        <w:rPr>
          <w:rFonts w:ascii="Times New Roman" w:hAnsi="Times New Roman" w:cs="Times New Roman"/>
          <w:sz w:val="24"/>
          <w:szCs w:val="24"/>
        </w:rPr>
        <w:br/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Закономірності конституювання реченнєвої конструкції на базі валентно-пов’язаного адвербіального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поширювача із локативною семантикою, де встановлюється кореляція префікса й прийменника, сьогодні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постають у центрі уваги в працях І.Р. Вихованця, К.Г. Городенської, М.В. Мірченка, М.І. Степаненка та ін.</w:t>
      </w:r>
      <w:r w:rsidRPr="00B52770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Учені констатували той факт, що речення з ППК мають специфічну валентну природу. Тут валентність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дієслівного предиката найповніше розкриває свої властивості міжрівневої категорії, оскільки охоплює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морфологічний статус відмінків, семантико-синтагматичний аспект лексем та словотвірний потенціал дієслова.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Попри значну кількість публікацій, у яких фрагментарно здійснено спроби </w:t>
      </w:r>
      <w:bookmarkStart w:id="0" w:name="_GoBack"/>
      <w:bookmarkEnd w:id="0"/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проаналізувати особливості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побудови семантико-синтаксичної структури речень із ППК, означена проблема ще не була предметом окремих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дослідницьких студій. Вона може мати також різні інтерпретації, важаючи на неоднозначне трактування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лінгвістичної природи прийменника. Тож пропонуємо своє бачення. Завданнями статті є: розглянути систему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спеціальних засобів представлення локативності в реченні; з’ясувати тісну взаємодію компонентів валентної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рамки P[prefVf]+Adv[prep+</w:t>
      </w:r>
      <w:proofErr w:type="gramStart"/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Nx]loc</w:t>
      </w:r>
      <w:proofErr w:type="gramEnd"/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 репрезентанта локативно-динамічного плану змісту.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</w:rPr>
        <w:br/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У сучасній українській мові і префікси, і прийменники реалізують передовсім свої первинні значення –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просторові. Така їхня спеціалізація пояснює той факт, що ППК знаходить свій найповніший вияв у реченнях із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локативними відношеннями. Подібні синтаксичні структури об’єднуються валентною рамкою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P[prefVf]+Adv[prep+</w:t>
      </w:r>
      <w:proofErr w:type="gramStart"/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Nx]loc.</w:t>
      </w:r>
      <w:proofErr w:type="gramEnd"/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Позицію P репрезентують дієслова, що мають особливу морфемну структуру: вони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містять у своєму складі префікс, який пов’язаний із прийменником. Префікс та прийменник можуть виражати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однопланові/неоднопланові відношення, утворюючи типи безпосередньої чи опосередкованої кореляції. Пор.: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Олеся … вдивлялася в нього (В. Яворівський), … з кімнати Вона виходить (І. Драч) (безпосередня ППК);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… голос … З-понад Неви вже доліта (Д. Павличко), Він … випірнув крізь нього [отвір] на поверхню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(Ю. Покальчук) (опосередкована ППК).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br/>
      </w:r>
      <w:r w:rsidRPr="00B52770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Сучасні дослідники дотримуються думки, що префікс в описуваних конструкціях модифікує значення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дієслова, “породжує його структурно-значеннєву незавершеність, обмежує або розширює його синтагматичні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можливості, зрештою, викликає обов’язкову появу припредикатного поширювача” [Степаненко 2004, с. 22].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Отже, префікс має здатність переводити дієслово з розряду автосемантичної лексики до розряду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синсемантичної. У такому разі вербатив вимагає компенсації свого змісту залежним компонентом,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репрезентованим прийменниково-відмінковою формою. Пор.: … Біг швидко, не остановлявся, Увесь об колючки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подрався; Як чорт, у реп’яхах ввесь був. Прибіг к троянцям… (І. Котляревський). Досить часто після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префіксації валентнісний склад дієслів кількісно не змінюється. Проте, як слушно зауважує Л.Ферм, та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валентність, значення якої збігається із значенням префікса, стає центральною, сильною. “Це виявляється в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нездатності дієслова иступати в реченні без реалізації вказаної валентності: вона або виражена експліцитно,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або випливає з контексту,” – зазначає дослідниця [Ферм 1990, с. 43-44]. Так, дієсловам руху властиві три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алентності, які характеризують ситуацію переміщення: початкової точки руху, кінцевої точки руху та шляху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руху: … їхав Леон Гаммершляг з Дрогобича до Борислава (І. Франко), Проз двір їхав конем осавула (І. Нечуй-Левицький). У зв’язку з префіксацією предиката за допомогою аблативного (ви-, з-/зі-/із-/ізі-/зо-/с-/іс-,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від-/віді-/од-/оді- та ін.) або лативного (в-/у-/уві-/вві-, за-, до-/ді-, по-/пі-, при-, над-/наді-/надо- та ін.) префікса,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домінує відповідно валентність початкового пункту руху – Adv loc[start] або кінцевого пункту руху –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Adv loc[finis]: … ми від’їздили з Києва (В. Малик), … 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риїхав до міста … Роман (В. Яворівський). Лативно-аблативний префікс пере- зумовлює 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регулярну 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вербальну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реалізацію 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двох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центральних валентностей: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…філоксера … переходить з куща </w:t>
      </w:r>
      <w:proofErr w:type="gramStart"/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на кущ</w:t>
      </w:r>
      <w:proofErr w:type="gramEnd"/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(М. Коцюбинський), … шістдесятництво перетікало … від родини до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родини (О. Забужко).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br/>
        <w:t xml:space="preserve">               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Сильновалентною позицією в реченні вчені вважають об’єктну позицію. Проте в конструкціях із ППК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правобічний компонент [prep+Nx] виконує роль обставинного конкретизатора. У формуванні просторової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семантики посутню роль відіграє префікс, що в структурі дієслова виступає формальним засобом вираження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локативного аргумента [Безпояско 1987, с. 164-166]. Він уточнює предикат, а отже, і все речення просторовими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відтінками з директивним (лативним, аблативним) чи рідше транзитивним характером та зумовлює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облігаторну </w:t>
      </w:r>
      <w:proofErr w:type="gramStart"/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позицію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рипредикатного</w:t>
      </w:r>
      <w:proofErr w:type="gramEnd"/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члена. На особливу увагу заслуговує префікс про-, який спеціалізується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на вираженні семантики шляху руху. Дієслово з таким префіксом програмує локативно-транзитивний</w:t>
      </w:r>
      <w:r w:rsidR="003A44C7" w:rsidRPr="00B52770">
        <w:rPr>
          <w:rFonts w:ascii="Times New Roman" w:hAnsi="Times New Roman" w:cs="Times New Roman"/>
          <w:sz w:val="24"/>
          <w:szCs w:val="24"/>
        </w:rPr>
        <w:br/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компонент. Речення з подібним предикатом можуть мати і конкретизатори у вигляді просторово-напрямкових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поширювачів. У такому разі припредикатні члени Adv loc[start] та Adv loc[finis] функціонують на засадах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факультативності, а ППК, утворена префіксом вербатива та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рийменником, який разом з іменником обіймають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правобічну позицію, є опосередкованою. На нашу думку, цілком достатніми є підстави для виокремлення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префікса про- в окремий різновид – перлативний (див. про це: [Ферм 1990, с. 46]).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Щоправда, С.О. Соколова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наводить приклади, у яких префікс про- може позначати і досягнення кінцевої точки руху, проте в таких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випадках, твердить вона, “увагу зосереджено передусім на самому процесові руху, а значення кінцевої мети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виникає за рахунок відповідного актанта дієслова” [Соколова 2003, с. 164-165]: Родичі провели їх до машини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(В. Яворівський), … один з них пройшов на … олімпіаду (В. Діброва). Окремо слід сказати про префікси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роз-/розі- та о-/об-/обі-. Вони можуть утворювати кореляцію з прийменником, але регулювати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валентноспроможність вербалізованого предиката в реченнях, де реалізуються не директивні, а статичні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локативні відношення. Це відбувається за умови відсутності правобічного поширювача із значенням напрямку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руху [Степаненко 2004, с. 280]: Руська рать розтягнулася по чолу (В. Малик), Щось обвивається довкола нього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(В. Діброва).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Префікс дієслова-предиката семантично узгоджується з вербативною основою. Характерно, що він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регулярно поєднується із дієсловами руху, переміщення, рідше – конкретної фізичної дії, спорадично – із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дієсловами сприйняття.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Функціональна активність характерна для конструкцій, у яких повідомляється про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старт, фініш та траєкторію руху. Предикати в таких реченнях представлені лише дієсловами динамічної дії, бо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“обов’язковою умовою вживання прийменниково-відмінкових </w:t>
      </w:r>
      <w:proofErr w:type="gramStart"/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форм..</w:t>
      </w:r>
      <w:proofErr w:type="gramEnd"/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, – за висловленням К.І. Ходової, – є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обмеження в семантиці дієслівного члена … він може мати тільки значення руху” [Ходова 1971, с. 85].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Семантичне ж навантаження між дієсловом-предикатом і префіксом, наголошує К.Г. Городенська,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розподіляється так: “значення руху і частково напряму репрезентує дієслово, локативні значення представляє</w:t>
      </w:r>
      <w:r w:rsidR="003A44C7" w:rsidRPr="00B52770">
        <w:rPr>
          <w:rFonts w:ascii="Times New Roman" w:hAnsi="Times New Roman" w:cs="Times New Roman"/>
          <w:sz w:val="24"/>
          <w:szCs w:val="24"/>
          <w:lang w:val="uk-UA"/>
        </w:rPr>
        <w:br/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префікс” [Безпояско 1987, с. 166]. Отже, вербатив із префіксом актуалізує сему “рух” (справжній або уявний) та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інтенційно зорієнтований на сполучуваність із поширювачем локативно-директивної чи локативно-транзитивної семантики.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br/>
        <w:t xml:space="preserve">              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Не заперечуємо того факту, що префікси формують дієслівні структури тільки з предикатами дії і така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особливість їх комбінаторики зумовлює однотипність семантичної структури дієслів [Безпояско 1987, с.15].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Однак слід зазначити, що подібне твердження потребує уточнення хоча б тому, що склад предикатів дії є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неоднорідним.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Привертають увагу висновки Л. Ферм про те, наприклад, що каузально-моторні дієслова,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утворені за допомогою лативних префіксів, не поширюються прийменниково-субстантивними формами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аблативного значення, оскільки така валентність не властива розгляданим вербативам. Після префіксації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аблативними префіксами вони стають носіями двох типів директивності – старту і фінішу: вставити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фотокартку в рамку, приставити картину до стіни, але виставити меблі з кімнати в коридор [Ферм 1990,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с. 55]. Для порівняння наголосимо, що дієслова руху характеризуються іншим спектром заповнювачів</w:t>
      </w:r>
      <w:r w:rsidR="003A44C7" w:rsidRPr="00B52770">
        <w:rPr>
          <w:rFonts w:ascii="Times New Roman" w:hAnsi="Times New Roman" w:cs="Times New Roman"/>
          <w:sz w:val="24"/>
          <w:szCs w:val="24"/>
        </w:rPr>
        <w:br/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предикатної позиції: вони вступають у семантико-синтаксичний зв’язок із локативно-директивними та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локативно-транзитивним компонентами.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Просторові семи, зосереджені в структурі дієслова-предиката, одержують конкретизацію у вигляді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правобічного поширювача Adv[prep+Nx]loc, що формально репрезентований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рийменниково-відмінковою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формою іменника. Префіксальні предикати дії в реченнях із ППК “утягуються” в поле прийменника, який,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услід за І.Р. Вихованцем, трактуватимемо як аналітичну синтаксичну морфему1. Прийменник разом із таким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вербативом утворює похідний комплекс – акціонально-локативний предикат. Дієслово дії, у свою чергу, також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впливає на аналітичну синтаксичну морфему-локативізатор: вона набуває семантико-граматичної ознаки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динамічної локативності [Вихованець 1992, с. 108-109]. Динаміка руху стає ядерним компонентом орієнтовно-спрямованих просторових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відношень. Функція дієслівного постфікса в реченнях із ППК майже повністю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нівелюється. Навпаки, прийменник “реалізує категоріальне значення субстанціальної локативності”, тобто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“мотивує локативну семантику в певній відмінковій формі” [Мірченко 2004, с. 176]. Прийменник функціонує в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ролі присубстантивної морфеми та транспонує іменникову позицію в прислівникову, унаслідок чого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прийменниково-відмінкова форма своїми семантичними характеристиками дублює синтетичний прислівник.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Осібно виокремлюються, наприклад, дієслова мислення, акустичного сприйняття, а також такі, що набувають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метафоричного значення. У реченнях із подібними предикатами відбувається повна граматикалізація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прийменника, він виконує структурну функцію й характеризується “придієслівною постфіксною позицією”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[Вихованець 1987, с. 186-187]: Я вдумуюсь у матеріал (В. Сухомлинський), [Хтось] Дослуховується до наших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слів (Ю. Покальчук), … Я впадаю в задуму (Г. Чубач). Така постфіксна позиція прийменика в структурах із ППК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є периферійною. Утворена внаслідок зрощення дієслівно-постфіксна сполука вказує на об’єктні відношення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[Вихованець 1980, с. 70], у ній найчастіше простежуємо повний вияв безпосередньої кореляції.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</w:rPr>
        <w:br/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З огляду на сказане вище, прийменник характеризувати слід у зв’язку з його найближчим оточенням, що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є істотним у ліво- та правобічній репрезентації. Уже зазначалося, що прийменник у досліджуваних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конструкціях пов’язується із предикатним членом, його префіксом, проте найтіснішою є його взаємодія із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субстантивом. У формально-граматичному вияві прийменник входить </w:t>
      </w:r>
      <w:proofErr w:type="gramStart"/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до складу</w:t>
      </w:r>
      <w:proofErr w:type="gramEnd"/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члена речення й разом із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повнозначним компонентом формує необхідну цілісність. Утворену конструктивну одиницю витлумачують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по-різному, залежно від оцінки участі в її організації складників: як єдина прийменниково-відмінкова форма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(І.Р. Вихованець, О.С.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ельничук, К.І Ходова та ін.), прийменниковий зворот (Є. Курилович), прийменниково-іменна група (М.В. Всеволодова, Л.М. Засоріна), прийменниково-іменне сполучення І(.К. Кучеренко),</w:t>
      </w:r>
      <w:r w:rsidR="003A44C7" w:rsidRPr="00B52770">
        <w:rPr>
          <w:rFonts w:ascii="Times New Roman" w:hAnsi="Times New Roman" w:cs="Times New Roman"/>
          <w:sz w:val="24"/>
          <w:szCs w:val="24"/>
        </w:rPr>
        <w:br/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прийменниково-відмінкова конструкція (Є.Ю. Владимирський), прийменниково-субстантивний комплекс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(В.І. Кононенко).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Ми кваліфікуємо прийменник як аналітичну синтаксичну морфему, тому трактуємо його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сполучення з іменником як прийменниково-відмінкову форму, у якій прийменник тісно пов’язаний із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відмінковою флексією.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Із семантико-синтаксичного погляду прийменник у прийменниково-відмінковій формі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має синтаксемотвірний потенціал. Він, як дериваційна морфема, забезпечує вияв адвербіальності, виконує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важливі функції у формуванні локативної синтаксеми, якій властива внутрішньореченнєва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облігаторність/факультативність. Прийменник, таким чином, є також визначником просторових відношень у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реченні. Слід додати, що прийменник, як і синтетична морфема префікс, здатний виконувати семантичну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функцію. Суть її полягає в “конкретизації ролі іменника в денотативній структурі висловлювання”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[Всеволодова 2003, с. 34]: пор. на (локатив), до (директив-вектор), під (дестинатив) тощо: Тіла … на підлозі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положили (В. Сосюра), </w:t>
      </w:r>
      <w:proofErr w:type="gramStart"/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Повезли</w:t>
      </w:r>
      <w:proofErr w:type="gramEnd"/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його до лікарні (В. Яворівський), Кузька поліз під поріжок (Григір Тютюнник).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Таку семантичну функцію прийменник не може виконувати без флексії, із якою він тісно пов’язаний і може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становити з нею одну субморфему. Наприклад, прийменник на належить до розряду тих, що можуть уживатися</w:t>
      </w:r>
      <w:r w:rsidR="003A44C7" w:rsidRPr="00B52770">
        <w:rPr>
          <w:rFonts w:ascii="Times New Roman" w:hAnsi="Times New Roman" w:cs="Times New Roman"/>
          <w:sz w:val="24"/>
          <w:szCs w:val="24"/>
        </w:rPr>
        <w:br/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на позначення статичних та динамічних відношень. У наведеному першому реченні прийменник пов’язаний із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місцевим відмінком, що вживається у своїй первинній семантико-синтаксичній функції статичної локалізації.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</w:rPr>
        <w:br/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За умови формальної репрезентації іменника в знахідному відмінку (на підлогу), стає можливим окреслення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A44C7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динамічно-директивних відношень.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 xml:space="preserve">            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У лінгвістиці немає єдиного погляду на чинники, які мотивують вибір прийменника в прийменниково-відмінковій формі. Існують концепції, згідно з якими прийменник залежить від префікса (В.В. Виноградов,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Є.М. Галкіна-Федорук, М.М. Прокопович та ін.) і від значення іменника (М.Д. Лєсник). Цікавою, на наш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погляд, є думка про те, що “сполучення прийменника </w:t>
      </w:r>
      <w:proofErr w:type="gramStart"/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субстантивом</w:t>
      </w:r>
      <w:proofErr w:type="gramEnd"/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відповідному відмінку … самостійно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позначає напрямок і ніби “вимагає” дієслова із семантикою переміщення та з певним маркером додаткової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характеристики напрямку” [Ферм 1990, с. 60]. Звичайно, такі погляди заслуговують на увагу. Однак, на нашу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думку, аргументованішим є твердження про те, що прийменник “перебуває у подвійній співвідносності – з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дієсловом і з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менником: префікс дієслова визначає загальне коло можливих прийменників-корелятів, а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лексична природа іменника та основи дієслова зумовлює вживання певного прийменника у кожному</w:t>
      </w:r>
      <w:r w:rsidR="00F04BE2" w:rsidRPr="00B52770">
        <w:rPr>
          <w:rFonts w:ascii="Times New Roman" w:hAnsi="Times New Roman" w:cs="Times New Roman"/>
          <w:sz w:val="24"/>
          <w:szCs w:val="24"/>
        </w:rPr>
        <w:br/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конкретному випадку” [Войцехівська 1968, с. 54]. М.І. Степаненко уточнює, що в реченнях із ППК “діє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лексико-синтаксичної селекційності, сутність якого полягає в тому, що префіксоване дієслово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детермінує синтаксичну позицію разом із прийменником, точніше, префікс зумовлює появу прийменника, а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разом вони зумовлюють появу іменникової словоформи” [Степаненко 2004, с. 23].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04BE2" w:rsidRPr="00B52770">
        <w:rPr>
          <w:rFonts w:ascii="Times New Roman" w:hAnsi="Times New Roman" w:cs="Times New Roman"/>
          <w:color w:val="8F8F8F"/>
          <w:sz w:val="24"/>
          <w:szCs w:val="24"/>
          <w:shd w:val="clear" w:color="auto" w:fill="FFFFFF"/>
          <w:lang w:val="uk-UA"/>
        </w:rPr>
        <w:t xml:space="preserve">             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Як бачимо, прийменник та відмінкова форма субстантива, що входить до транспонованого компонента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[prep+Nx] з адвербіальним значенням, становлять діалектичну єдність як у формально-граматичному, так і в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логіко-смисловому відношенні. Відмінок, як і прийменник, не може самостійно виражати різні типи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просторових відношень. Він виконує таку функцію лише в сполученні з певними прийменниками. Істотно, що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під час переходу субстантива в аналітичний прислівник відмінок нейтралізується неповною мірою: і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прийменник, і відмінок виступають у реченні семантично навантаженими. Уживаються локальні форми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місцевого, орудного, знахідного, родового та давального відмінків. “У системі відмінків місцевий і орудний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закріпилися здебільшого для вираження просторових орієнтирів – предметів статичної локалізації, а знахідний і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давальний – для вираження просторових орієнтирів – предметів динамічної </w:t>
      </w:r>
      <w:proofErr w:type="gramStart"/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локалізації.Родовий</w:t>
      </w:r>
      <w:proofErr w:type="gramEnd"/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відмінок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як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морфологічний 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варіант локативної синтаксеми займає проміжне місце, широко вживаючись на позначення як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статичної, так і динамічної локативності” [Вихованець 1992, с. 134]. У свою чергу, виразниками семантики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“фініш” виступають знахідний, давальний та родовий відмінки. Фактично єдиним репрезентантом вихідного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пункту руху є родовий. У реалізації транзитивного значення беруть участь родовий, знахідний, місцевий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відмінки.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 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Уже було зауважено, що просторові відмінкові форми валентно пов’язані з предикатом. Логічно, що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відмінок тісно взаємодіє і з дієсловом. Основне призначення категорії відмінка, як відомо, полягає в тому, </w:t>
      </w:r>
      <w:proofErr w:type="gramStart"/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щоб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виражати</w:t>
      </w:r>
      <w:proofErr w:type="gramEnd"/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семантичні функції аргументів. Як зазначає В.В. Богданов, “вибір морфологічного (</w:t>
      </w:r>
      <w:proofErr w:type="gramStart"/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поверхневого)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відмінка</w:t>
      </w:r>
      <w:proofErr w:type="gramEnd"/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залежить не стільки від характеру семантичних функцій, як від конкретного виду предиката”[Богданов 1977, с. 114]. Щодо розглядуваних конструкцій, то предикат має особливе семантичне наповнення: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він позначає рух і лише подеколи статику. Л. Ферм, покликаючись на висновки Ю.Д. Апресяна1 та власні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дослідження, зазначає: “Наявність аблативного/ лативного префікса впливає на вираження периферійних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(слабких) валентностей” [Ферм 1990, с. 53-54]. Її концепцію в найзагальнішій інтерпретації можна подати так:</w:t>
      </w:r>
      <w:r w:rsidR="00F04BE2" w:rsidRPr="00B52770">
        <w:rPr>
          <w:rFonts w:ascii="Times New Roman" w:hAnsi="Times New Roman" w:cs="Times New Roman"/>
          <w:sz w:val="24"/>
          <w:szCs w:val="24"/>
        </w:rPr>
        <w:br/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початкова точка переміщення нам майже завжди відома, оскільки вона або експліцитно виражена в тексті, або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розуміється із ситуації; кінцева точка є логічно головним напрямком, для слухача, читача вона є новим,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невідомим, тому в реченні зазвичай виступає ремою.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Звідси випливає, що при аблативних та лативно-аблативних дієсловах валентність Adv loc[finis] в реченні має регулярне матеріальне втілення, як і валентність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Adv loc[start]. При лативних предикатах вербальна презентація валентності початкової точки руху є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нерелевантною, за винятком тих випадків, коли актуалізації її вимагає контекст. Зважаючи на дані обстеженого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матеріалу, погоджуємося з таким твердженням і наголошуємо, що в досліджуваних синтаксичних структурах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домінують відмінкові форми акузативного значення, оскільки саме така форма є типовим реалізатором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04BE2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правобічної валентності предиката на позначення кінцевої точки руху.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br/>
        <w:t xml:space="preserve">           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Припредикатний член “співпрацює” і з префіксом. Правобічні поширювачі виступають засобом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розрізнення вихідного, кінцевого пунктів руху та шляху руху.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Префікс може надавати всьому реченню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загального директивного чи транзитивного відтінку. У такому разі прийменниково-відмінкова форма має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конкретизовану репрезентацію орієнтовно-спрямованих чи транзитивних відношень. Однак в ситуації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переміщення розрізняють два взаємопов’язаних поняття: напрямок та орієнтація. У семантичній структурі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правобічного поширювача закладена загальна сема “забезпечення орієнтації в просторі”, тоді як не всі префікси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мають конкретну маркованість стосовно орієнтації. Наприклад, префіксу в- властива чітка інклюзивна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семантика, тоді як префікс ви- може виражати різні словотвірні значення в межах категорії орієнтації: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“віддалення від початкової точки руху”, “рух назовні”,” рух угору”. Немарковані префікси передають загальні</w:t>
      </w:r>
      <w:r w:rsidR="004E4B4D" w:rsidRPr="00B52770">
        <w:rPr>
          <w:rFonts w:ascii="Times New Roman" w:hAnsi="Times New Roman" w:cs="Times New Roman"/>
          <w:sz w:val="24"/>
          <w:szCs w:val="24"/>
        </w:rPr>
        <w:br/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просторові орієнтири, а основним реалізатором конкретної локативної семантики виступає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онтекст: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припредикатний член, валентна рамка, ціле речення.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Насамкінець необхідно вказати, що структурування семантики речень із рамковим оформленням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[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prefVf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]+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Adv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[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prep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+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Nx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]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loc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зазвичай відбувається без жодних лексико-семантичних обмежень, проте іноді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потребує специфічних валентних умов на рівні кількох чи всіх конститутивних позицій. Лексико-семантична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селекційність, іноді аж до жорсткої лімітативності, може поширюватися на предикатну, правобічну і навіть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лівобічну припредикатні позиції. За спостереженнями М.І. Степаненка, у формуванні реченнєвої семантики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“рух з подоланням перешкод, що перетинає внутрішні межі простору з одного боку на інший” беруть участь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дієслова, “план змісту яких ускладнений додатковим відтінком “з труднощами, долаючи перешкоди”, позицію</w:t>
      </w:r>
      <w:r w:rsidR="004E4B4D" w:rsidRPr="00B52770">
        <w:rPr>
          <w:rFonts w:ascii="Times New Roman" w:hAnsi="Times New Roman" w:cs="Times New Roman"/>
          <w:sz w:val="24"/>
          <w:szCs w:val="24"/>
          <w:lang w:val="uk-UA"/>
        </w:rPr>
        <w:br/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S обіймають іменники – найменування істот чи фізичних явищ, що сприймаються органами чуттів [Степаненко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2004, с. 238]: … Степан … проривається крізь очамріння (В. Яворівський), … Крізь [хмари] … пробивається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проміння (О. Олесь). Характерно, що в таких конструкціях найчастіше функціонує прийменник “крізь”. Це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невипадково, оскільки він “передає додатковий смисловий відтінок проникнення, переборення певного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простору” [Вихованець 1980, с. 154].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br/>
        <w:t xml:space="preserve">             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Отже, диференційною ознакою речень із ППК є їх локативна семантика. Предикат, що характеризується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значеннєвою релятивністю, зумовленою дією префікса, вступає в семантико-синтаксичні зв’язки з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поширювачами. Їхнє входження в обов’язкове/факультативне правобічне оточення предикатного члена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передбачено кореляцією префікса та прийменника. Усі компоненти ланцюга “префікс-дієслово-прийменник-іменник” “злагоджено працюють”, забезпечуючи реалізацію просторових відношень. Вони тісно взаємодіють,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виконуючи функції конкретизації, селекційності, транспозиції. Звісно, </w:t>
      </w:r>
      <w:proofErr w:type="gramStart"/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у межах</w:t>
      </w:r>
      <w:proofErr w:type="gramEnd"/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однієї статті не можна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окреслити всі випадки. Привертає увагу також те, що серед досліджуваних конструкцій вирізняються структури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із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синкретичним типом детермінації. У них тісно переплітаються адвербіальні значення локального і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нелокального типів, просторова і об’єктна семантика. Тож означена проблема ще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далека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свого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розв’язання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й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потребує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="004E4B4D"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подальших досліджень.</w:t>
      </w:r>
    </w:p>
    <w:p w:rsidR="004E4B4D" w:rsidRPr="00B52770" w:rsidRDefault="004E4B4D" w:rsidP="00B52770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color w:val="8F8F8F"/>
          <w:sz w:val="24"/>
          <w:szCs w:val="24"/>
          <w:shd w:val="clear" w:color="auto" w:fill="FFFFFF"/>
        </w:rPr>
      </w:pPr>
      <w:r w:rsidRPr="00B52770">
        <w:rPr>
          <w:rFonts w:ascii="Times New Roman" w:hAnsi="Times New Roman" w:cs="Times New Roman"/>
          <w:color w:val="8F8F8F"/>
          <w:sz w:val="24"/>
          <w:szCs w:val="24"/>
          <w:shd w:val="clear" w:color="auto" w:fill="FFFFFF"/>
          <w:lang w:val="uk-UA"/>
        </w:rPr>
        <w:t xml:space="preserve">                                                                 </w:t>
      </w:r>
      <w:r w:rsidRPr="00B527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Література</w:t>
      </w:r>
      <w:r w:rsidRPr="00B52770">
        <w:rPr>
          <w:rFonts w:ascii="Times New Roman" w:hAnsi="Times New Roman" w:cs="Times New Roman"/>
          <w:b/>
          <w:sz w:val="24"/>
          <w:szCs w:val="24"/>
        </w:rPr>
        <w:br/>
      </w:r>
    </w:p>
    <w:p w:rsidR="004E4B4D" w:rsidRPr="00B52770" w:rsidRDefault="004E4B4D" w:rsidP="00B52770">
      <w:pPr>
        <w:pStyle w:val="a6"/>
        <w:numPr>
          <w:ilvl w:val="0"/>
          <w:numId w:val="2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Апресян Ю.Д. Опыт описания значений глаголов по их синтаксическим признакам (типам управления) //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Вопросы языкознания. – 1965. – № 5. – С. 51-66.</w:t>
      </w:r>
    </w:p>
    <w:p w:rsidR="00B52770" w:rsidRPr="00B52770" w:rsidRDefault="004E4B4D" w:rsidP="00B52770">
      <w:pPr>
        <w:pStyle w:val="a6"/>
        <w:numPr>
          <w:ilvl w:val="0"/>
          <w:numId w:val="2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Безпояско О.К., Городенська К.Г. Морфеміка української мови. – К.: Наук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думка,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1987. – 212 с.</w:t>
      </w:r>
    </w:p>
    <w:p w:rsidR="00B52770" w:rsidRPr="00B52770" w:rsidRDefault="004E4B4D" w:rsidP="00B52770">
      <w:pPr>
        <w:pStyle w:val="a6"/>
        <w:numPr>
          <w:ilvl w:val="0"/>
          <w:numId w:val="2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Богданов В.В. Семантико-синтаксическая организация предложения. – Л.: Изд-во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Л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енингр.ун-та, 1977. – 204 с.</w:t>
      </w:r>
    </w:p>
    <w:p w:rsidR="00B52770" w:rsidRPr="00B52770" w:rsidRDefault="004E4B4D" w:rsidP="00B52770">
      <w:pPr>
        <w:pStyle w:val="a6"/>
        <w:numPr>
          <w:ilvl w:val="0"/>
          <w:numId w:val="2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Вихованець І.Р. Нариси з функціонального синтаксису української мови. – К.: Наукова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думка, 1992. – 286 с.</w:t>
      </w:r>
    </w:p>
    <w:p w:rsidR="00B52770" w:rsidRPr="00B52770" w:rsidRDefault="004E4B4D" w:rsidP="00B52770">
      <w:pPr>
        <w:pStyle w:val="a6"/>
        <w:numPr>
          <w:ilvl w:val="0"/>
          <w:numId w:val="2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Вихованець І.Р. Прийменникова система української мови. – К.: Наукова думка, 1987.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 231 с.</w:t>
      </w:r>
    </w:p>
    <w:p w:rsidR="00B52770" w:rsidRPr="00B52770" w:rsidRDefault="004E4B4D" w:rsidP="00B52770">
      <w:pPr>
        <w:pStyle w:val="a6"/>
        <w:numPr>
          <w:ilvl w:val="0"/>
          <w:numId w:val="2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Вихованець І.Р. Система відмінків української мови. – К.: Наук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думка, 1980. –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220 с.</w:t>
      </w:r>
      <w:r w:rsidRPr="00B52770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Войцехівська В.Г. Прийменникове керування префіксованих дієслів // Мовознавство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 1968. – № 6. – С. 23-27.</w:t>
      </w:r>
    </w:p>
    <w:p w:rsidR="00B52770" w:rsidRPr="00B52770" w:rsidRDefault="004E4B4D" w:rsidP="00B52770">
      <w:pPr>
        <w:pStyle w:val="a6"/>
        <w:numPr>
          <w:ilvl w:val="0"/>
          <w:numId w:val="2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Всеволодова М. Предлог: поле и категория (аспект функционально-коммуникативной</w:t>
      </w:r>
      <w:r w:rsidRPr="00B52770">
        <w:rPr>
          <w:rFonts w:ascii="Times New Roman" w:hAnsi="Times New Roman" w:cs="Times New Roman"/>
          <w:sz w:val="24"/>
          <w:szCs w:val="24"/>
        </w:rPr>
        <w:br/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грамматики) // Лінгвістичні студії: Зб. наук. праць. – Вип. 11. У 2 частинах / Укл.: Анатолій Загнітко (наук.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редактор) та ін. – Част. 1. – Донецьк: ДонНУ, 2003. – С. 33-39.</w:t>
      </w:r>
    </w:p>
    <w:p w:rsidR="00B52770" w:rsidRPr="00B52770" w:rsidRDefault="004E4B4D" w:rsidP="00B52770">
      <w:pPr>
        <w:pStyle w:val="a6"/>
        <w:numPr>
          <w:ilvl w:val="0"/>
          <w:numId w:val="2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Мірченко М.В. Структура синтаксичних категорій. – Вид.2-ге, перероблене. – Луцьк: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Вежа, 2004. – 394 с.</w:t>
      </w:r>
    </w:p>
    <w:p w:rsidR="00B52770" w:rsidRPr="00B52770" w:rsidRDefault="004E4B4D" w:rsidP="00B52770">
      <w:pPr>
        <w:pStyle w:val="a6"/>
        <w:numPr>
          <w:ilvl w:val="0"/>
          <w:numId w:val="2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Соколова С.О. Префіксальний словотвір дієслів у сучасній українській мові. – К.: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Наукова думка, 2003. – 283 с.</w:t>
      </w:r>
    </w:p>
    <w:p w:rsidR="00B52770" w:rsidRPr="00B52770" w:rsidRDefault="004E4B4D" w:rsidP="00B52770">
      <w:pPr>
        <w:pStyle w:val="a6"/>
        <w:numPr>
          <w:ilvl w:val="0"/>
          <w:numId w:val="2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Степаненко М.І. Просторові поширювачі у структурі простого речення: Монографія. –</w:t>
      </w:r>
      <w:r w:rsidR="00B527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Полтава: АСМІ, 2004. – 463 с.</w:t>
      </w:r>
    </w:p>
    <w:p w:rsidR="00B52770" w:rsidRPr="00B52770" w:rsidRDefault="004E4B4D" w:rsidP="00B52770">
      <w:pPr>
        <w:pStyle w:val="a6"/>
        <w:numPr>
          <w:ilvl w:val="0"/>
          <w:numId w:val="2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Ферм Л. Выражение направления при приставочных глаголах перемещения в современномрусском языке. К вопросу префиксально-предложного детерминизма. – Stockholm: UPPSALA, 1990. – 188 с.</w:t>
      </w:r>
    </w:p>
    <w:p w:rsidR="004E4B4D" w:rsidRPr="00B52770" w:rsidRDefault="004E4B4D" w:rsidP="00B52770">
      <w:pPr>
        <w:pStyle w:val="a6"/>
        <w:numPr>
          <w:ilvl w:val="0"/>
          <w:numId w:val="2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2770">
        <w:rPr>
          <w:rFonts w:ascii="Times New Roman" w:hAnsi="Times New Roman" w:cs="Times New Roman"/>
          <w:sz w:val="24"/>
          <w:szCs w:val="24"/>
          <w:shd w:val="clear" w:color="auto" w:fill="FFFFFF"/>
        </w:rPr>
        <w:t>Ходова К.И. Падежи с предлогами в старославянском языке. – М.: Наука, 1971. – 192 с.</w:t>
      </w:r>
    </w:p>
    <w:p w:rsidR="00424968" w:rsidRPr="00B52770" w:rsidRDefault="00424968" w:rsidP="00B52770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24968" w:rsidRPr="00B52770" w:rsidRDefault="00424968" w:rsidP="00B52770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24968" w:rsidRPr="00B5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34E"/>
    <w:multiLevelType w:val="hybridMultilevel"/>
    <w:tmpl w:val="2F54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32A7B"/>
    <w:multiLevelType w:val="hybridMultilevel"/>
    <w:tmpl w:val="122A462C"/>
    <w:lvl w:ilvl="0" w:tplc="74CAC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D7"/>
    <w:rsid w:val="001B1ED7"/>
    <w:rsid w:val="003A44C7"/>
    <w:rsid w:val="00424968"/>
    <w:rsid w:val="00430DE5"/>
    <w:rsid w:val="00470D05"/>
    <w:rsid w:val="004E4B4D"/>
    <w:rsid w:val="00961705"/>
    <w:rsid w:val="00B52770"/>
    <w:rsid w:val="00F0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B0DE"/>
  <w15:chartTrackingRefBased/>
  <w15:docId w15:val="{3F44B89D-9B31-4F99-BFD6-C592C430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0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170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70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70D0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7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E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89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3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49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4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806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59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695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9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0401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939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18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3504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2021-03-01T18:06:00Z</dcterms:created>
  <dcterms:modified xsi:type="dcterms:W3CDTF">2021-03-01T19:25:00Z</dcterms:modified>
</cp:coreProperties>
</file>