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DE" w:rsidRPr="00A4734D" w:rsidRDefault="00AE07DE" w:rsidP="00AE07DE">
      <w:pPr>
        <w:autoSpaceDE w:val="0"/>
        <w:autoSpaceDN w:val="0"/>
        <w:adjustRightInd w:val="0"/>
        <w:rPr>
          <w:sz w:val="18"/>
          <w:szCs w:val="18"/>
          <w:lang w:val="uk-UA"/>
        </w:rPr>
      </w:pPr>
      <w:r w:rsidRPr="00AE07DE">
        <w:rPr>
          <w:rFonts w:eastAsia="TimesNewRomanPSMT"/>
          <w:sz w:val="18"/>
          <w:szCs w:val="18"/>
          <w:highlight w:val="yellow"/>
          <w:lang w:val="uk-UA"/>
        </w:rPr>
        <w:t xml:space="preserve">Траверсе Г.М., Денисенко І. </w:t>
      </w:r>
      <w:r w:rsidRPr="00AE07DE">
        <w:rPr>
          <w:sz w:val="18"/>
          <w:szCs w:val="18"/>
          <w:highlight w:val="yellow"/>
          <w:lang w:val="uk-UA"/>
        </w:rPr>
        <w:t xml:space="preserve">Історичні аспекти біоетичних проблем </w:t>
      </w:r>
      <w:proofErr w:type="spellStart"/>
      <w:r w:rsidRPr="00AE07DE">
        <w:rPr>
          <w:sz w:val="18"/>
          <w:szCs w:val="18"/>
          <w:highlight w:val="yellow"/>
          <w:lang w:val="uk-UA"/>
        </w:rPr>
        <w:t>евтаназії</w:t>
      </w:r>
      <w:proofErr w:type="spellEnd"/>
      <w:r w:rsidRPr="00AE07DE">
        <w:rPr>
          <w:sz w:val="18"/>
          <w:szCs w:val="18"/>
          <w:highlight w:val="yellow"/>
          <w:lang w:val="uk-UA"/>
        </w:rPr>
        <w:t>// Тези 72-ої наукової конференції професорів, викладачів, наукових працівників, аспірантів та студентів університету, 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–С.441-443.</w:t>
      </w:r>
    </w:p>
    <w:p w:rsidR="00AE07DE" w:rsidRPr="00AE07DE" w:rsidRDefault="00AE07DE" w:rsidP="00064E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A9451C" w:rsidRPr="00A9451C" w:rsidRDefault="00A9451C" w:rsidP="00064EA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Д.мед.н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., професор </w:t>
      </w:r>
      <w:r w:rsidRPr="00A9451C">
        <w:rPr>
          <w:rFonts w:ascii="Times New Roman" w:hAnsi="Times New Roman"/>
          <w:b/>
          <w:i/>
          <w:sz w:val="24"/>
          <w:szCs w:val="24"/>
          <w:lang w:val="uk-UA"/>
        </w:rPr>
        <w:t>Траверсе Г.М.</w:t>
      </w:r>
    </w:p>
    <w:p w:rsidR="00D9562A" w:rsidRDefault="00A9451C" w:rsidP="00064E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с</w:t>
      </w:r>
      <w:proofErr w:type="spellStart"/>
      <w:r>
        <w:rPr>
          <w:rFonts w:ascii="Times New Roman" w:hAnsi="Times New Roman"/>
          <w:i/>
          <w:sz w:val="24"/>
          <w:szCs w:val="24"/>
        </w:rPr>
        <w:t>тудент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ка 2 курсу</w:t>
      </w:r>
    </w:p>
    <w:p w:rsidR="00A9451C" w:rsidRDefault="00A9451C" w:rsidP="00064E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спеціальності 227 «Фізична терапія, ерготерапія»</w:t>
      </w:r>
    </w:p>
    <w:p w:rsidR="00A9451C" w:rsidRPr="00A9451C" w:rsidRDefault="00A9451C" w:rsidP="00064EA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A9451C">
        <w:rPr>
          <w:rFonts w:ascii="Times New Roman" w:hAnsi="Times New Roman"/>
          <w:b/>
          <w:i/>
          <w:sz w:val="24"/>
          <w:szCs w:val="24"/>
          <w:lang w:val="uk-UA"/>
        </w:rPr>
        <w:t>Денисенко Ілона</w:t>
      </w:r>
    </w:p>
    <w:p w:rsidR="00D9562A" w:rsidRDefault="00D9562A" w:rsidP="00064E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D9562A" w:rsidRDefault="00D9562A" w:rsidP="00064E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«По</w:t>
      </w:r>
      <w:r w:rsidR="00A9451C">
        <w:rPr>
          <w:rFonts w:ascii="Times New Roman" w:hAnsi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/>
          <w:i/>
          <w:sz w:val="24"/>
          <w:szCs w:val="24"/>
          <w:lang w:val="uk-UA"/>
        </w:rPr>
        <w:t>тавська політехніка імені  Юрія Кондратюка»</w:t>
      </w:r>
    </w:p>
    <w:p w:rsidR="00D9562A" w:rsidRDefault="00D9562A" w:rsidP="00064EA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D9562A" w:rsidRPr="00A9451C" w:rsidRDefault="00D9562A" w:rsidP="00064E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І</w:t>
      </w:r>
      <w:r w:rsidRPr="0084525F">
        <w:rPr>
          <w:rFonts w:ascii="Times New Roman" w:hAnsi="Times New Roman"/>
          <w:b/>
          <w:sz w:val="32"/>
          <w:szCs w:val="32"/>
          <w:lang w:val="uk-UA"/>
        </w:rPr>
        <w:t>сторичні аспекти біо</w:t>
      </w:r>
      <w:r>
        <w:rPr>
          <w:rFonts w:ascii="Times New Roman" w:hAnsi="Times New Roman"/>
          <w:b/>
          <w:sz w:val="32"/>
          <w:szCs w:val="32"/>
          <w:lang w:val="uk-UA"/>
        </w:rPr>
        <w:t>е</w:t>
      </w:r>
      <w:r w:rsidRPr="0084525F">
        <w:rPr>
          <w:rFonts w:ascii="Times New Roman" w:hAnsi="Times New Roman"/>
          <w:b/>
          <w:sz w:val="32"/>
          <w:szCs w:val="32"/>
          <w:lang w:val="uk-UA"/>
        </w:rPr>
        <w:t>т</w:t>
      </w:r>
      <w:r>
        <w:rPr>
          <w:rFonts w:ascii="Times New Roman" w:hAnsi="Times New Roman"/>
          <w:b/>
          <w:sz w:val="32"/>
          <w:szCs w:val="32"/>
          <w:lang w:val="uk-UA"/>
        </w:rPr>
        <w:t>ичних</w:t>
      </w:r>
      <w:r w:rsidR="00A9451C">
        <w:rPr>
          <w:rFonts w:ascii="Times New Roman" w:hAnsi="Times New Roman"/>
          <w:b/>
          <w:sz w:val="32"/>
          <w:szCs w:val="32"/>
          <w:lang w:val="uk-UA"/>
        </w:rPr>
        <w:t xml:space="preserve"> проблем </w:t>
      </w:r>
      <w:proofErr w:type="spellStart"/>
      <w:r w:rsidR="00A9451C">
        <w:rPr>
          <w:rFonts w:ascii="Times New Roman" w:hAnsi="Times New Roman"/>
          <w:b/>
          <w:sz w:val="32"/>
          <w:szCs w:val="32"/>
          <w:lang w:val="uk-UA"/>
        </w:rPr>
        <w:t>евтаназі</w:t>
      </w:r>
      <w:r w:rsidR="00A9451C" w:rsidRPr="00A9451C">
        <w:rPr>
          <w:rFonts w:ascii="Times New Roman" w:hAnsi="Times New Roman"/>
          <w:b/>
          <w:sz w:val="32"/>
          <w:szCs w:val="32"/>
        </w:rPr>
        <w:t>ї</w:t>
      </w:r>
      <w:proofErr w:type="spellEnd"/>
    </w:p>
    <w:p w:rsidR="00D9562A" w:rsidRPr="0084525F" w:rsidRDefault="00D9562A" w:rsidP="00940F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Одна з най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більш 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гостр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их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обговорюваних проблем біоетики - це проблема </w:t>
      </w:r>
      <w:proofErr w:type="spellStart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. Термін «</w:t>
      </w:r>
      <w:proofErr w:type="spellStart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евтаназія</w:t>
      </w:r>
      <w:proofErr w:type="spellEnd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» має грецьке походження і означає «благу, добру» смерть. Така смерть може наступити природним шляхом або ж за допомогою спеціальних дій. Розвиток сучасної науки і техніки дозволи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значно поліпшити якість життя людини, що сприяло збільшенню його середньої тривалості життя. Однак, вдосконалюючи медичну техніку, борючись за життя, людина не поміти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ла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загострення інш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ої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етичної проблеми - спокійного прийняття смерті.</w:t>
      </w:r>
    </w:p>
    <w:p w:rsidR="00D9562A" w:rsidRPr="0084525F" w:rsidRDefault="00D9562A" w:rsidP="00940F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Дослідники культури первісного суспільства вказують на поширений звичай позбавлення від старих, хворих, які ускладнювали пересування племен і були тягарем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важких умовах боротьби за виживання. Люди, які не виконували соціальні функції, не могли вважатися членами колективу. В античній Спарті хворих дітей кидали в прірву. Платон у творі «Держава», посилаючись на міфічного цілителя Асклепія, писав: «Хто в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відведений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людині термін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не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здатний жити, того, вважав Аскл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пій, 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потрібно і лікувати, тому що така людина не потрібн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ні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ні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суспільств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» [1]. Платон схвалював і самогубство громадян похилого віку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D9562A" w:rsidRPr="0084525F" w:rsidRDefault="00D9562A" w:rsidP="008452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Стоїк Сенека вважав самогубство гідною альтернативою втрати гідності і неможливості досягнення атараксії - блаженного споглядання істини. Він задавав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ся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питання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: «Якщо тіло не годиться для своєї служби, то чому б не вивести на волю змучену душу? І може бути, це слід зробити трохи раніше належного, щоб в належний строк не виявитися безсилим це зробити 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[2].</w:t>
      </w:r>
    </w:p>
    <w:p w:rsidR="00D9562A" w:rsidRPr="0084525F" w:rsidRDefault="00D9562A" w:rsidP="008452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У просторі християнської культури самогубство було кваліфіковано як гріховне діяння, що суперечить волі Бога. В епоху Відродження 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являються ідеї про допустимість </w:t>
      </w:r>
      <w:proofErr w:type="spellStart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. Так, англійський гуманіст Томас Мор (1478-1535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рр.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) у творі «Утопія» виправдовує застосування </w:t>
      </w:r>
      <w:proofErr w:type="spellStart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для невиліковно хворих, однак засуджує суїцид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який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не схвалює церкв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держав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84525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D9562A" w:rsidRPr="00D3471D" w:rsidRDefault="00D9562A" w:rsidP="004C501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кінці XIX - початку XX ст. в суспільній свідомості загострюється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цікавість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проблем суїциду, і, як наслідок, отримує розвиток сюжет про добровільну активн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. У країнах Західної Європи і в Росії 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являються таємні товариства прихильників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навіть «клуби самогубців». У 30-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40-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оки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XX ст. нацистська Німеччина проводила «заходи» по очищенню окупованих територій від неповноцінних членів суспільства в рамках так званої 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«расової гігієни». Проблема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«неповноцінних» отримала широкий громадський резонанс у зв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язку з важким економічним становищем країни після поразки в Першій світовій війні. Мета такої соціальної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- не сприяння гідн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ому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вмиранн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, а знищення «непотрібних» людей. У 1939 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 Німеччині проходила кампанія по виявленню дітей з вадами розвитку, кандидатів на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евтаназію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, яка призвела до знищення п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яти тисяч дітей. Сумно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популярністю користується практика знищення пацієнтів психіатричних клінік в самій Німеччині та на окупованих територіях.</w:t>
      </w:r>
    </w:p>
    <w:p w:rsidR="00D9562A" w:rsidRPr="00D3471D" w:rsidRDefault="00D9562A" w:rsidP="004C501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Після закінчення Другої світової війни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евтаназія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ототожнювалася з недобровільною примусово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евтаназією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засуджувалася як в сфері біомедицини, так і в суспільстві в цілому. Тим часом в 1960-і р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оки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проблема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знову стає актуальною. Серед причин повернення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дискусі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ї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можна назвати стрімке постаріння населення в країнах Заходу, зростання кількості людей, які страждають хронічними хворобами, збільшення можливостей медицини в підтримці життя термінальних хворих, розвиток руху за автономію прав пацієнтів. Вагомим аргументом на користь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став розвиток руху за розширення прав пацієнта. Її прихильники закликають поважати право пацієнта на визначення меж існування [3].</w:t>
      </w:r>
    </w:p>
    <w:p w:rsidR="00D9562A" w:rsidRPr="00D3471D" w:rsidRDefault="00D9562A" w:rsidP="004C501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Важлива умова проведення </w:t>
      </w:r>
      <w:proofErr w:type="spellStart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евтаназії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чітко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виражен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 стійк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прохання пацієнта. Тим часом психіка термінального хворого характеризується частою зміною настроїв, стан депресії може змінюватися надією. Німецький філософ І.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Кант писав про це: «Якщо хворий,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який тривалий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час прикутий до ліжка, відчуває найжорстокіші страждання, постійно закликає смерть, яка позбавить його від мук, не вірте йому, це не є його дійсне бажання. Розум, правда, підказує йому це, але інстинкт проти цього повстає»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[4].</w:t>
      </w:r>
    </w:p>
    <w:p w:rsidR="00D9562A" w:rsidRPr="007A21B0" w:rsidRDefault="00D9562A" w:rsidP="004C501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Таким чином, 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>втаназія</w:t>
      </w:r>
      <w:proofErr w:type="spellEnd"/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–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це 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серйозна проблема медичної етики, що вимагає не замовчування, а навпаки - найактивнішого розгляду всіх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аргументів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 і проти неї. Вона етична, якщо застосовується тільки у страждаючих хворих, які помирають від невиліковної хвороби, якщо введена в рамки закону, що виключа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є</w:t>
      </w:r>
      <w:r w:rsidRPr="00D3471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зловживання, і якщо виконується лікарями-професіоналами, що не втратили здатність співпереживати»</w:t>
      </w:r>
      <w:bookmarkStart w:id="0" w:name="annot_12"/>
      <w:r w:rsidRPr="007A21B0">
        <w:rPr>
          <w:rFonts w:ascii="Times New Roman" w:hAnsi="Times New Roman"/>
          <w:color w:val="000000"/>
          <w:sz w:val="28"/>
          <w:szCs w:val="28"/>
          <w:vertAlign w:val="superscript"/>
          <w:lang w:val="uk-UA" w:eastAsia="ru-RU"/>
        </w:rPr>
        <w:t xml:space="preserve"> </w:t>
      </w:r>
      <w:bookmarkEnd w:id="0"/>
      <w:r w:rsidRPr="007A21B0">
        <w:rPr>
          <w:rFonts w:ascii="Times New Roman" w:hAnsi="Times New Roman"/>
          <w:color w:val="000000"/>
          <w:sz w:val="28"/>
          <w:szCs w:val="28"/>
          <w:vertAlign w:val="superscript"/>
          <w:lang w:val="uk-UA" w:eastAsia="ru-RU"/>
        </w:rPr>
        <w:t xml:space="preserve"> </w:t>
      </w:r>
      <w:r w:rsidRPr="007A21B0">
        <w:rPr>
          <w:rFonts w:ascii="Times New Roman" w:hAnsi="Times New Roman"/>
          <w:color w:val="000000"/>
          <w:sz w:val="28"/>
          <w:szCs w:val="28"/>
          <w:lang w:val="uk-UA" w:eastAsia="ru-RU"/>
        </w:rPr>
        <w:t>[5].</w:t>
      </w:r>
    </w:p>
    <w:p w:rsidR="00024450" w:rsidRDefault="00024450" w:rsidP="004C5016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D9562A" w:rsidRDefault="00D9562A" w:rsidP="00A9451C">
      <w:pPr>
        <w:spacing w:after="0" w:line="240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Література</w:t>
      </w:r>
    </w:p>
    <w:p w:rsidR="00D9562A" w:rsidRDefault="00D9562A" w:rsidP="007A21B0">
      <w:pPr>
        <w:numPr>
          <w:ilvl w:val="0"/>
          <w:numId w:val="2"/>
        </w:numPr>
        <w:tabs>
          <w:tab w:val="clear" w:pos="1699"/>
          <w:tab w:val="num" w:pos="880"/>
        </w:tabs>
        <w:spacing w:after="0" w:line="240" w:lineRule="atLeast"/>
        <w:ind w:left="880" w:hanging="77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Платон. Государство // Собрание сочинений. В 4 т. Т. </w:t>
      </w:r>
      <w:smartTag w:uri="urn:schemas-microsoft-com:office:smarttags" w:element="metricconverter">
        <w:smartTagPr>
          <w:attr w:name="ProductID" w:val="3. М"/>
        </w:smartTagPr>
        <w:r w:rsidRPr="007A21B0">
          <w:rPr>
            <w:rFonts w:ascii="Times New Roman" w:hAnsi="Times New Roman"/>
            <w:color w:val="000000"/>
            <w:sz w:val="28"/>
            <w:szCs w:val="28"/>
            <w:lang w:eastAsia="ru-RU"/>
          </w:rPr>
          <w:t>3. М</w:t>
        </w:r>
      </w:smartTag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.: Мысль, 1994. С. 175—176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D9562A" w:rsidRDefault="00D9562A" w:rsidP="007A21B0">
      <w:pPr>
        <w:numPr>
          <w:ilvl w:val="0"/>
          <w:numId w:val="2"/>
        </w:numPr>
        <w:tabs>
          <w:tab w:val="clear" w:pos="1699"/>
          <w:tab w:val="num" w:pos="880"/>
        </w:tabs>
        <w:spacing w:after="0" w:line="240" w:lineRule="atLeast"/>
        <w:ind w:left="880" w:hanging="77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Сенека. Нравственные письма к </w:t>
      </w:r>
      <w:proofErr w:type="spellStart"/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Луцилию</w:t>
      </w:r>
      <w:proofErr w:type="spellEnd"/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. М.: Наука, 1977. С. 101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102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D9562A" w:rsidRDefault="00D9562A" w:rsidP="007A21B0">
      <w:pPr>
        <w:numPr>
          <w:ilvl w:val="0"/>
          <w:numId w:val="2"/>
        </w:numPr>
        <w:tabs>
          <w:tab w:val="clear" w:pos="1699"/>
          <w:tab w:val="num" w:pos="880"/>
        </w:tabs>
        <w:spacing w:after="0" w:line="240" w:lineRule="atLeast"/>
        <w:ind w:left="880" w:hanging="77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Чашин Л. II. Юридический аспект «права на смерть» // Медицинское право. 2014. №   4(56). С. 36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024450" w:rsidRPr="00024450" w:rsidRDefault="00D9562A" w:rsidP="007A21B0">
      <w:pPr>
        <w:numPr>
          <w:ilvl w:val="0"/>
          <w:numId w:val="2"/>
        </w:numPr>
        <w:tabs>
          <w:tab w:val="clear" w:pos="1699"/>
          <w:tab w:val="num" w:pos="880"/>
        </w:tabs>
        <w:spacing w:after="0" w:line="240" w:lineRule="atLeast"/>
        <w:ind w:left="880" w:hanging="77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Кант И. О способности духа побеждать болезненные ощущения. Трактаты и </w:t>
      </w:r>
      <w:proofErr w:type="spellStart"/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письма</w:t>
      </w:r>
      <w:proofErr w:type="gramStart"/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7A21B0">
        <w:rPr>
          <w:rFonts w:ascii="Times New Roman" w:hAnsi="Times New Roman"/>
          <w:color w:val="000000"/>
          <w:sz w:val="28"/>
          <w:szCs w:val="28"/>
          <w:lang w:eastAsia="ru-RU"/>
        </w:rPr>
        <w:t>.: Наука, 1980. С</w:t>
      </w:r>
      <w:r w:rsidRPr="00024450">
        <w:rPr>
          <w:rFonts w:ascii="Times New Roman" w:hAnsi="Times New Roman"/>
          <w:color w:val="000000"/>
          <w:sz w:val="28"/>
          <w:szCs w:val="28"/>
          <w:lang w:val="en-US" w:eastAsia="ru-RU"/>
        </w:rPr>
        <w:t>. 300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="00024450" w:rsidRPr="00024450">
        <w:rPr>
          <w:lang w:val="en-US"/>
        </w:rPr>
        <w:t xml:space="preserve"> </w:t>
      </w:r>
    </w:p>
    <w:p w:rsidR="00D9562A" w:rsidRDefault="00842441" w:rsidP="007A21B0">
      <w:pPr>
        <w:numPr>
          <w:ilvl w:val="0"/>
          <w:numId w:val="2"/>
        </w:numPr>
        <w:tabs>
          <w:tab w:val="clear" w:pos="1699"/>
          <w:tab w:val="num" w:pos="880"/>
        </w:tabs>
        <w:spacing w:after="0" w:line="240" w:lineRule="atLeast"/>
        <w:ind w:left="880" w:hanging="77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hyperlink r:id="rId5" w:history="1"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studme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/167780/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etika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estetika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evtanaziya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eticheskie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pravovye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aspekty</w:t>
        </w:r>
        <w:proofErr w:type="spellEnd"/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- </w:t>
        </w:r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gads</w:t>
        </w:r>
        <w:r w:rsidR="00024450" w:rsidRPr="007A21B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="00024450" w:rsidRPr="00024450">
          <w:rPr>
            <w:rStyle w:val="a3"/>
            <w:rFonts w:ascii="Times New Roman" w:hAnsi="Times New Roman"/>
            <w:sz w:val="28"/>
            <w:szCs w:val="28"/>
            <w:lang w:val="en-US"/>
          </w:rPr>
          <w:t>btm</w:t>
        </w:r>
        <w:proofErr w:type="spellEnd"/>
      </w:hyperlink>
    </w:p>
    <w:sectPr w:rsidR="00D9562A" w:rsidSect="008452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F14C1"/>
    <w:multiLevelType w:val="hybridMultilevel"/>
    <w:tmpl w:val="D1D0D2C2"/>
    <w:lvl w:ilvl="0" w:tplc="F8D214C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C1F176F"/>
    <w:multiLevelType w:val="multilevel"/>
    <w:tmpl w:val="82D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068"/>
    <w:rsid w:val="00024450"/>
    <w:rsid w:val="00064EAB"/>
    <w:rsid w:val="00137A39"/>
    <w:rsid w:val="001A78CB"/>
    <w:rsid w:val="00497000"/>
    <w:rsid w:val="004C5016"/>
    <w:rsid w:val="00510F75"/>
    <w:rsid w:val="00762322"/>
    <w:rsid w:val="007650BA"/>
    <w:rsid w:val="007A21B0"/>
    <w:rsid w:val="00842441"/>
    <w:rsid w:val="0084525F"/>
    <w:rsid w:val="00867068"/>
    <w:rsid w:val="00920B3B"/>
    <w:rsid w:val="00940F71"/>
    <w:rsid w:val="009B2721"/>
    <w:rsid w:val="00A9451C"/>
    <w:rsid w:val="00AA2432"/>
    <w:rsid w:val="00AE07DE"/>
    <w:rsid w:val="00B868B7"/>
    <w:rsid w:val="00C515D2"/>
    <w:rsid w:val="00D13CEA"/>
    <w:rsid w:val="00D3471D"/>
    <w:rsid w:val="00D9562A"/>
    <w:rsid w:val="00ED57E8"/>
    <w:rsid w:val="00FA09CA"/>
    <w:rsid w:val="00FD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525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me.org/167780/etika_i_estetika/evtanaziya_eticheskie_pravovye_aspekty%20-%20gads_b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as</cp:lastModifiedBy>
  <cp:revision>9</cp:revision>
  <dcterms:created xsi:type="dcterms:W3CDTF">2020-03-24T09:07:00Z</dcterms:created>
  <dcterms:modified xsi:type="dcterms:W3CDTF">2020-05-25T11:31:00Z</dcterms:modified>
</cp:coreProperties>
</file>