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F6A5" w14:textId="77777777" w:rsidR="008A1112" w:rsidRPr="00EB3ADD" w:rsidRDefault="008A1112" w:rsidP="008A111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Вікторія Кулик</w:t>
      </w:r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</w:t>
      </w: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</w:t>
      </w:r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.е.н</w:t>
      </w:r>
      <w:proofErr w:type="spellEnd"/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., </w:t>
      </w: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професор</w:t>
      </w:r>
    </w:p>
    <w:p w14:paraId="7CB701F6" w14:textId="77777777" w:rsidR="00DF75DE" w:rsidRPr="00EB3ADD" w:rsidRDefault="008A1112" w:rsidP="008A111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НУ</w:t>
      </w:r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«</w:t>
      </w: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Полтавська політехніка імені Юрія Кондратюка</w:t>
      </w:r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», м. </w:t>
      </w: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Полтава</w:t>
      </w:r>
    </w:p>
    <w:p w14:paraId="13D33B79" w14:textId="77777777" w:rsidR="008A1112" w:rsidRPr="00EB3ADD" w:rsidRDefault="008A1112" w:rsidP="008A111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Тетяна Соколенко</w:t>
      </w:r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, студентка </w:t>
      </w: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4</w:t>
      </w:r>
      <w:r w:rsidR="00094B44"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курсу</w:t>
      </w:r>
    </w:p>
    <w:p w14:paraId="299D433C" w14:textId="77777777" w:rsidR="008A1112" w:rsidRPr="00EB3ADD" w:rsidRDefault="008A1112" w:rsidP="008A111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НУ «Полтавська політехніка імені Юрія Кондратюка», м. Полтава</w:t>
      </w:r>
    </w:p>
    <w:p w14:paraId="11292A12" w14:textId="77777777" w:rsidR="00DF75DE" w:rsidRPr="00EB3ADD" w:rsidRDefault="00DF75DE" w:rsidP="00DF75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3F9CC6" w14:textId="77777777" w:rsidR="00DF75DE" w:rsidRPr="00EB3ADD" w:rsidRDefault="00DF75DE" w:rsidP="007C0C0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uk-UA"/>
        </w:rPr>
        <w:t>Облікова політика бюджетної установи щодо основних засобів</w:t>
      </w:r>
    </w:p>
    <w:p w14:paraId="6A6E4686" w14:textId="77777777" w:rsidR="00DF75DE" w:rsidRPr="00EB3ADD" w:rsidRDefault="00DF75DE" w:rsidP="00DA3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94606B" w14:textId="77777777" w:rsidR="00DA3202" w:rsidRPr="00EB3ADD" w:rsidRDefault="00DA3202" w:rsidP="00DA3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Елементи облікової політики бюджетної установи відображуються у розпорядчому документі про облікову політику. Зміст розпорядчого документу про облікову політику складається із урахуванням особливостей діяльності бюджетної установи та технології оброблення облікових даних</w:t>
      </w:r>
      <w:r w:rsidR="006924A9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[3]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E43A544" w14:textId="77777777" w:rsidR="00DA3202" w:rsidRPr="00EB3ADD" w:rsidRDefault="00DA3202" w:rsidP="00DA3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п. 13 Типового положення про бухгалтерську службу бюджетної установи, затвердженого постановою Кабінету Міністрів України від 26 січня 2011 р. № 59, головний бухгалтер подає керівникові бюджетної установи пропозиції щодо: визначення облікової політики, зміни обраної облікової політики з урахуванням особливостей діяльності бюджетної установи і технології оброблення облікових даних, у тому числі системи та форм внутрішньогосподарського (управлінського) обліку та правил документообігу, додаткової системи рахунків і регістрів аналітичного обліку, звітності та контролю за господарськими операціями.</w:t>
      </w:r>
    </w:p>
    <w:p w14:paraId="5427E49D" w14:textId="77777777" w:rsidR="00F12376" w:rsidRPr="00EB3ADD" w:rsidRDefault="00F12376" w:rsidP="00F12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Бюджетна установа повинна погоджувати зміст розпорядчого документу про облікову політику із головним розпорядником бюджетних коштів або установою вищого рівня. Для цього необхідно, щоб у бюджетної установи та головного розпорядника були єдині підходи до облікової політики. Бюджетні установи, які мають подвійну підпорядкованість, погоджують свою облікову політику з установою вищого рівня, яка затверджує кошторис. Таким чином, самостійно затверджувати облікову 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політику на підставі наказу керівника може тільки установа – головний розпорядник бюджетних коштів. Наказ про внесення змін до облікової політики погоджується в такому ж порядку</w:t>
      </w:r>
      <w:r w:rsidR="006924A9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[1, 4]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7A3CBF" w14:textId="77777777" w:rsidR="00DA3202" w:rsidRPr="00EB3ADD" w:rsidRDefault="00DA3202" w:rsidP="00DA32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Нормативно-правовими актами, які регулюють зміст розпорядчого документу про облікову політику бюджетної установи є: 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НП(с)БОДС 101 «Подання фінансової звітності»;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НП(с)БОДС 125 «Зміни облікових оцінок та виправлення помилок»;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Методичні рекомендації з бухгалтерського обліку основних засобів суб'єктів державного сектору.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Бюджетна установа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послідовно застосовувати облікову політику, щоб </w:t>
      </w:r>
      <w:hyperlink r:id="rId6" w:tgtFrame="_blank" w:history="1">
        <w:r w:rsidR="00F07652" w:rsidRPr="00EB3AD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фінансова звітність бюджетних установ</w:t>
        </w:r>
      </w:hyperlink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відповідала вимогам НП(с)БОДС (НП(с)БОДС 101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«Подання фінансової звітності»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6924A9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791979" w14:textId="77777777" w:rsidR="0030301D" w:rsidRPr="00EB3ADD" w:rsidRDefault="00DA3202" w:rsidP="00F123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розпорядчому документі про облікову політику визначаються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методи оцінки, обліку, процедури, які має застосовувати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бюджетна 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установа та щодо яких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нормативними документами, які регулюють облік бюджетних установ,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передбач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ено більше, 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ніж один варіант.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елементів облікової політики бюджетної установи щодо основних засобів повинні включатися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корисного використання груп </w:t>
      </w:r>
      <w:hyperlink r:id="rId7" w:tgtFrame="_blank" w:history="1">
        <w:r w:rsidR="00F07652" w:rsidRPr="00EB3ADD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основних засобів</w:t>
        </w:r>
      </w:hyperlink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нематеріальних активів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НП(с)БОДС не встановлюють строків корисного використання, але установі без них не обійтися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‒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необхідні для розрахунку амортизації для основних засобів, біологічних та нематеріальних активів, а також інвестиційної нерухомості.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Розпорядчий документ про облікову політику бюджетної установи 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повинен</w:t>
      </w:r>
      <w:r w:rsidR="00F07652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містити кореспонденцію субрахунків бухгалтерського обліку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відображення господарських операцій, не передбачених типовою кореспонденцією</w:t>
      </w:r>
      <w:r w:rsidR="006924A9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[2, 4]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1DD2DF45" w14:textId="77777777" w:rsidR="001A2770" w:rsidRPr="00EB3ADD" w:rsidRDefault="001A2770" w:rsidP="006924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Бюджетні установи складають баланс щокварталу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тому амортизацію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основних засобів 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нараховувати чотири рази на рік. Однак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НП(с)БОДС 121 надає право керівникам установ прийняти рішення нараховувати амортизацію тільки на річну дату балансу. Таке рішення </w:t>
      </w:r>
      <w:r w:rsidR="00F12376"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закріплюється у розпорядчому документі про облікову політику.</w:t>
      </w:r>
    </w:p>
    <w:p w14:paraId="3DCC2944" w14:textId="77777777" w:rsidR="00C633DD" w:rsidRPr="00EB3ADD" w:rsidRDefault="00C633DD" w:rsidP="00094B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57FAD1" w14:textId="77777777" w:rsidR="00760440" w:rsidRPr="00EB3ADD" w:rsidRDefault="00760440" w:rsidP="007604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Список використаних джерел:</w:t>
      </w:r>
    </w:p>
    <w:p w14:paraId="363E15AB" w14:textId="77777777" w:rsidR="00760440" w:rsidRPr="00EB3ADD" w:rsidRDefault="00760440" w:rsidP="00760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1. Кулик В. Облікова політика підприємства: набутий досвід та перспективи розвитку. Полтава: РВВ ПУЕТ, 2014. 380 с.</w:t>
      </w:r>
    </w:p>
    <w:p w14:paraId="06D210A0" w14:textId="77777777" w:rsidR="00760440" w:rsidRPr="00EB3ADD" w:rsidRDefault="00760440" w:rsidP="00760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2. Кулик В. Організація обліку основних засобів: методичний аспект. Університетські наукові записки. 2013. № 2 (46). С. 404–408.</w:t>
      </w:r>
    </w:p>
    <w:p w14:paraId="43D472E3" w14:textId="77777777" w:rsidR="00760440" w:rsidRPr="00EB3ADD" w:rsidRDefault="00760440" w:rsidP="00760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>Сепура</w:t>
      </w:r>
      <w:proofErr w:type="spellEnd"/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 Фінансова звітність бюджетних установ - експертні підказки. 2023. URL: https://oblikbudget.com.ua/article/1097-fnansova-zvtnst-byudjetnih-ustanov---ekspertn-pdkazki</w:t>
      </w:r>
    </w:p>
    <w:p w14:paraId="4848411C" w14:textId="77777777" w:rsidR="00760440" w:rsidRPr="00EB3ADD" w:rsidRDefault="00760440" w:rsidP="007604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3A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Чередник Н. Амортизація основних засобів. 2023. URL: </w:t>
      </w:r>
      <w:hyperlink r:id="rId8" w:history="1">
        <w:r w:rsidRPr="00EB3ADD">
          <w:rPr>
            <w:rFonts w:ascii="Times New Roman" w:hAnsi="Times New Roman" w:cs="Times New Roman"/>
            <w:sz w:val="28"/>
            <w:szCs w:val="28"/>
            <w:lang w:eastAsia="uk-UA"/>
          </w:rPr>
          <w:t>https://oblikbudget.com.ua/article/152-amortizatsya-osnovnih-zasobv</w:t>
        </w:r>
      </w:hyperlink>
    </w:p>
    <w:p w14:paraId="16F6B66D" w14:textId="77777777" w:rsidR="00760440" w:rsidRPr="00EB3ADD" w:rsidRDefault="00760440" w:rsidP="0076044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1329E" w14:textId="77777777" w:rsidR="00760440" w:rsidRPr="00EB3ADD" w:rsidRDefault="00760440" w:rsidP="00094B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60440" w:rsidRPr="00EB3ADD" w:rsidSect="00604A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F58"/>
    <w:multiLevelType w:val="multilevel"/>
    <w:tmpl w:val="38F0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49E"/>
    <w:multiLevelType w:val="multilevel"/>
    <w:tmpl w:val="ACA0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62A7"/>
    <w:multiLevelType w:val="multilevel"/>
    <w:tmpl w:val="B4C0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138"/>
    <w:multiLevelType w:val="multilevel"/>
    <w:tmpl w:val="165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A7B95"/>
    <w:multiLevelType w:val="multilevel"/>
    <w:tmpl w:val="B966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F4BCD"/>
    <w:multiLevelType w:val="multilevel"/>
    <w:tmpl w:val="8AA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277A0"/>
    <w:multiLevelType w:val="multilevel"/>
    <w:tmpl w:val="30CA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A04A6"/>
    <w:multiLevelType w:val="multilevel"/>
    <w:tmpl w:val="F66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C5E3C"/>
    <w:multiLevelType w:val="multilevel"/>
    <w:tmpl w:val="ED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91944"/>
    <w:multiLevelType w:val="multilevel"/>
    <w:tmpl w:val="EB20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93E49"/>
    <w:multiLevelType w:val="multilevel"/>
    <w:tmpl w:val="5ED0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57E4C"/>
    <w:multiLevelType w:val="multilevel"/>
    <w:tmpl w:val="0CE2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82F02"/>
    <w:multiLevelType w:val="multilevel"/>
    <w:tmpl w:val="36E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BC2252"/>
    <w:multiLevelType w:val="multilevel"/>
    <w:tmpl w:val="B1EE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8519DB"/>
    <w:multiLevelType w:val="multilevel"/>
    <w:tmpl w:val="401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E34F7E"/>
    <w:multiLevelType w:val="multilevel"/>
    <w:tmpl w:val="B22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970EC"/>
    <w:multiLevelType w:val="multilevel"/>
    <w:tmpl w:val="CF30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194807">
    <w:abstractNumId w:val="3"/>
  </w:num>
  <w:num w:numId="2" w16cid:durableId="2111702088">
    <w:abstractNumId w:val="1"/>
  </w:num>
  <w:num w:numId="3" w16cid:durableId="1499155675">
    <w:abstractNumId w:val="14"/>
  </w:num>
  <w:num w:numId="4" w16cid:durableId="1355880965">
    <w:abstractNumId w:val="0"/>
  </w:num>
  <w:num w:numId="5" w16cid:durableId="163277768">
    <w:abstractNumId w:val="7"/>
  </w:num>
  <w:num w:numId="6" w16cid:durableId="185869062">
    <w:abstractNumId w:val="16"/>
  </w:num>
  <w:num w:numId="7" w16cid:durableId="1605381939">
    <w:abstractNumId w:val="10"/>
  </w:num>
  <w:num w:numId="8" w16cid:durableId="1632175395">
    <w:abstractNumId w:val="15"/>
  </w:num>
  <w:num w:numId="9" w16cid:durableId="1692297365">
    <w:abstractNumId w:val="6"/>
  </w:num>
  <w:num w:numId="10" w16cid:durableId="661740524">
    <w:abstractNumId w:val="5"/>
  </w:num>
  <w:num w:numId="11" w16cid:durableId="756443090">
    <w:abstractNumId w:val="12"/>
  </w:num>
  <w:num w:numId="12" w16cid:durableId="741681432">
    <w:abstractNumId w:val="13"/>
  </w:num>
  <w:num w:numId="13" w16cid:durableId="426316812">
    <w:abstractNumId w:val="8"/>
  </w:num>
  <w:num w:numId="14" w16cid:durableId="607540472">
    <w:abstractNumId w:val="9"/>
  </w:num>
  <w:num w:numId="15" w16cid:durableId="640695973">
    <w:abstractNumId w:val="11"/>
  </w:num>
  <w:num w:numId="16" w16cid:durableId="217404831">
    <w:abstractNumId w:val="2"/>
  </w:num>
  <w:num w:numId="17" w16cid:durableId="1099906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27"/>
    <w:rsid w:val="00094B44"/>
    <w:rsid w:val="000D50A8"/>
    <w:rsid w:val="001A2770"/>
    <w:rsid w:val="0030301D"/>
    <w:rsid w:val="00604A67"/>
    <w:rsid w:val="00627827"/>
    <w:rsid w:val="0063671F"/>
    <w:rsid w:val="006924A9"/>
    <w:rsid w:val="00760440"/>
    <w:rsid w:val="007C0C08"/>
    <w:rsid w:val="00874B03"/>
    <w:rsid w:val="008A1112"/>
    <w:rsid w:val="008C5BC6"/>
    <w:rsid w:val="009C2945"/>
    <w:rsid w:val="00C633DD"/>
    <w:rsid w:val="00DA3202"/>
    <w:rsid w:val="00DF75DE"/>
    <w:rsid w:val="00EB3ADD"/>
    <w:rsid w:val="00F07652"/>
    <w:rsid w:val="00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1633"/>
  <w15:chartTrackingRefBased/>
  <w15:docId w15:val="{E229D089-F2A8-4541-A459-77C88104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7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Heading2">
    <w:name w:val="heading 2"/>
    <w:basedOn w:val="Normal"/>
    <w:link w:val="Heading2Char"/>
    <w:uiPriority w:val="9"/>
    <w:qFormat/>
    <w:rsid w:val="00F07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eading4">
    <w:name w:val="heading 4"/>
    <w:basedOn w:val="Normal"/>
    <w:link w:val="Heading4Char"/>
    <w:uiPriority w:val="9"/>
    <w:qFormat/>
    <w:rsid w:val="00F076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65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eading2Char">
    <w:name w:val="Heading 2 Char"/>
    <w:basedOn w:val="DefaultParagraphFont"/>
    <w:link w:val="Heading2"/>
    <w:uiPriority w:val="9"/>
    <w:rsid w:val="00F0765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Heading4Char">
    <w:name w:val="Heading 4 Char"/>
    <w:basedOn w:val="DefaultParagraphFont"/>
    <w:link w:val="Heading4"/>
    <w:uiPriority w:val="9"/>
    <w:rsid w:val="00F076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hidden-xs">
    <w:name w:val="hidden-xs"/>
    <w:basedOn w:val="DefaultParagraphFont"/>
    <w:rsid w:val="00F07652"/>
  </w:style>
  <w:style w:type="character" w:styleId="Hyperlink">
    <w:name w:val="Hyperlink"/>
    <w:basedOn w:val="DefaultParagraphFont"/>
    <w:uiPriority w:val="99"/>
    <w:unhideWhenUsed/>
    <w:rsid w:val="00F07652"/>
    <w:rPr>
      <w:color w:val="0000FF"/>
      <w:u w:val="single"/>
    </w:rPr>
  </w:style>
  <w:style w:type="character" w:customStyle="1" w:styleId="linktofileinfo">
    <w:name w:val="linktofile__info"/>
    <w:basedOn w:val="DefaultParagraphFont"/>
    <w:rsid w:val="00F07652"/>
  </w:style>
  <w:style w:type="paragraph" w:styleId="NormalWeb">
    <w:name w:val="Normal (Web)"/>
    <w:basedOn w:val="Normal"/>
    <w:uiPriority w:val="99"/>
    <w:semiHidden/>
    <w:unhideWhenUsed/>
    <w:rsid w:val="00F0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22"/>
    <w:qFormat/>
    <w:rsid w:val="00F07652"/>
    <w:rPr>
      <w:b/>
      <w:bCs/>
    </w:rPr>
  </w:style>
  <w:style w:type="character" w:styleId="Emphasis">
    <w:name w:val="Emphasis"/>
    <w:basedOn w:val="DefaultParagraphFont"/>
    <w:uiPriority w:val="20"/>
    <w:qFormat/>
    <w:rsid w:val="00F07652"/>
    <w:rPr>
      <w:i/>
      <w:iCs/>
    </w:rPr>
  </w:style>
  <w:style w:type="character" w:customStyle="1" w:styleId="incontentbutton">
    <w:name w:val="incontentbutton"/>
    <w:basedOn w:val="DefaultParagraphFont"/>
    <w:rsid w:val="001A2770"/>
  </w:style>
  <w:style w:type="paragraph" w:styleId="ListParagraph">
    <w:name w:val="List Paragraph"/>
    <w:basedOn w:val="Normal"/>
    <w:uiPriority w:val="34"/>
    <w:qFormat/>
    <w:rsid w:val="000D50A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32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320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DefaultParagraphFont"/>
    <w:rsid w:val="00D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9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13062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5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0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979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06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245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likbudget.com.ua/article/152-amortizatsya-osnovnih-zasobv" TargetMode="External"/><Relationship Id="rId3" Type="http://schemas.openxmlformats.org/officeDocument/2006/relationships/styles" Target="styles.xml"/><Relationship Id="rId7" Type="http://schemas.openxmlformats.org/officeDocument/2006/relationships/hyperlink" Target="/article/184-oblk-osnovnih-zasobv-2022-vd-pridbannya-do-spisann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/article/1097-fnansova-zvtnst-byudjetnih-ustanov---ekspertn-pdkazk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9666-221E-423C-9664-CA5D2824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Home</cp:lastModifiedBy>
  <cp:revision>14</cp:revision>
  <dcterms:created xsi:type="dcterms:W3CDTF">2023-11-21T09:40:00Z</dcterms:created>
  <dcterms:modified xsi:type="dcterms:W3CDTF">2024-04-24T06:15:00Z</dcterms:modified>
</cp:coreProperties>
</file>