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74" w:rsidRPr="00745874" w:rsidRDefault="00745874" w:rsidP="00745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5874">
        <w:rPr>
          <w:rFonts w:ascii="Times New Roman" w:hAnsi="Times New Roman" w:cs="Times New Roman"/>
          <w:b/>
          <w:sz w:val="24"/>
          <w:szCs w:val="24"/>
        </w:rPr>
        <w:t xml:space="preserve">УДК 657.32 </w:t>
      </w:r>
    </w:p>
    <w:p w:rsidR="00745874" w:rsidRPr="00821462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Дмитренко Алла Василівна,</w:t>
      </w:r>
    </w:p>
    <w:p w:rsidR="00745874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доктор економічних наук, доцент, доцент кафедри фінансів, банківського бізнесу та оподаткування</w:t>
      </w:r>
    </w:p>
    <w:p w:rsidR="00745874" w:rsidRPr="00821462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8214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Мороз Ірина Миколаївна,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магістрантка</w:t>
      </w:r>
      <w:proofErr w:type="spellEnd"/>
    </w:p>
    <w:p w:rsidR="00745874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Національний університет «Полтавська політехніка імені Юрія Кондратюка»</w:t>
      </w:r>
      <w:r w:rsidRPr="008214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(Україна)</w:t>
      </w:r>
    </w:p>
    <w:p w:rsidR="00745874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8214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Кравченко Олена Володимирівна,</w:t>
      </w:r>
    </w:p>
    <w:p w:rsidR="00745874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кандидат економічних наук, доцент, доцент кафедри бухгалтерського обліку та оподаткування </w:t>
      </w:r>
    </w:p>
    <w:p w:rsidR="00745874" w:rsidRPr="00821462" w:rsidRDefault="00745874" w:rsidP="0074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Сумський державний університет (Україна)</w:t>
      </w:r>
    </w:p>
    <w:p w:rsidR="00745874" w:rsidRDefault="00745874" w:rsidP="00745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874" w:rsidRDefault="00745874" w:rsidP="00745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5874">
        <w:rPr>
          <w:rFonts w:ascii="Times New Roman" w:hAnsi="Times New Roman" w:cs="Times New Roman"/>
          <w:b/>
          <w:sz w:val="24"/>
          <w:szCs w:val="24"/>
          <w:lang w:val="uk-UA"/>
        </w:rPr>
        <w:t>НЕДОЛІКИ ОБЛІКОВОЇ ПОЛІТИКИ СІЛЬСЬКОГОСПОДАРСЬКИХ ПІДПРИЄМСТВ ТА ШЛЯХИ ЇХ ПОДОЛАННЯ</w:t>
      </w:r>
    </w:p>
    <w:p w:rsidR="00745874" w:rsidRPr="00745874" w:rsidRDefault="00745874" w:rsidP="00745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ринкової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мета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- правильно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організувати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Однією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Вона є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реформи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але все ж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й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невирішеним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Основною метою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прийняттю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правильних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подальшому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майбутньому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економічному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притаманні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>: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агропідприємств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затверджували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початку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реформування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переважна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не вносила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ніяких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незважаючи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Часте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перезатвердження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документа.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4. Не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висвітлюється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5.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реквізити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>.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6.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систематизований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непослідовний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зайва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повторювання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формах.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суперечать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принципам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обачності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історичної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собівартості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нарахувань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8. Не правильно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обрані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амортизації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Відсутній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розділ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управлінського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11.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відсутністю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формалізованого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труднощами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оптимальних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варіантів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конкретного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Але, все ж таки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lastRenderedPageBreak/>
        <w:t>більшість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проблем все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суперечить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недосконалості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чинних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собою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постійним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змінам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>.</w:t>
      </w:r>
    </w:p>
    <w:p w:rsidR="00745874" w:rsidRDefault="00745874" w:rsidP="00745874">
      <w:pPr>
        <w:tabs>
          <w:tab w:val="left" w:pos="851"/>
        </w:tabs>
        <w:spacing w:after="0"/>
        <w:ind w:firstLine="567"/>
        <w:jc w:val="both"/>
      </w:pPr>
      <w:r w:rsidRPr="00745874">
        <w:rPr>
          <w:rFonts w:ascii="Times New Roman" w:hAnsi="Times New Roman" w:cs="Times New Roman"/>
          <w:sz w:val="24"/>
          <w:szCs w:val="24"/>
        </w:rPr>
        <w:t xml:space="preserve">Таким чином,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теоретично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обґрунтувати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Типова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форма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законодавчо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затверджена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але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рекомендаціях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[1]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наказі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Наказі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розкриватися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система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В той час, не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дозволяється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обліковій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висвітлювати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корисного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необоротних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активів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операційного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циклу,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ліквідаційної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нормальної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потужності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Тому,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подолати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недоліки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аграрних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узгодженість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собою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докладнішого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документах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переваг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жорсткіших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порядку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законодавчому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Міністерством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типової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обґрунтуванням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статей,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розкриватися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сільськогосподарським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чітких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і порядку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Наказу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переглянути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використовувані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ефективні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аграрної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одним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Вдало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наказ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господарську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Тому, для правильного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законодавчому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сформувати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контролю за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745874" w:rsidRPr="00745874" w:rsidRDefault="00745874" w:rsidP="0074587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використаних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джерел</w:t>
      </w:r>
      <w:proofErr w:type="spellEnd"/>
    </w:p>
    <w:p w:rsidR="00745874" w:rsidRP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1.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Методичних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рекомендацій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наказів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8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5874">
        <w:rPr>
          <w:rFonts w:ascii="Times New Roman" w:hAnsi="Times New Roman" w:cs="Times New Roman"/>
          <w:sz w:val="24"/>
          <w:szCs w:val="24"/>
        </w:rPr>
        <w:t xml:space="preserve"> наказ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2013 р.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v0635201-13 /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URL: https://zakon.rada.gov.ua/rada/show/v0635201-13#Text (дата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: 31.10.2022). </w:t>
      </w:r>
    </w:p>
    <w:p w:rsidR="00745874" w:rsidRP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стандарт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8 (МСБО 8).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Облікові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оцінках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745874">
        <w:rPr>
          <w:rFonts w:ascii="Times New Roman" w:hAnsi="Times New Roman" w:cs="Times New Roman"/>
          <w:sz w:val="24"/>
          <w:szCs w:val="24"/>
        </w:rPr>
        <w:t>помилки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5874">
        <w:rPr>
          <w:rFonts w:ascii="Times New Roman" w:hAnsi="Times New Roman" w:cs="Times New Roman"/>
          <w:sz w:val="24"/>
          <w:szCs w:val="24"/>
        </w:rPr>
        <w:t xml:space="preserve"> Стандарт.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документ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2012 р.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929_020. URL: https://zakon.rada.gov.ua/laws/show/929_020#Text (дата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: 30.10.2022). </w:t>
      </w:r>
    </w:p>
    <w:p w:rsidR="00745874" w:rsidRP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3. Про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874">
        <w:rPr>
          <w:rFonts w:ascii="Times New Roman" w:hAnsi="Times New Roman" w:cs="Times New Roman"/>
          <w:sz w:val="24"/>
          <w:szCs w:val="24"/>
        </w:rPr>
        <w:t>політику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45874">
        <w:rPr>
          <w:rFonts w:ascii="Times New Roman" w:hAnsi="Times New Roman" w:cs="Times New Roman"/>
          <w:sz w:val="24"/>
          <w:szCs w:val="24"/>
        </w:rPr>
        <w:t xml:space="preserve"> лист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 р. №</w:t>
      </w:r>
      <w:r w:rsidRPr="00745874">
        <w:rPr>
          <w:rFonts w:ascii="Times New Roman" w:hAnsi="Times New Roman" w:cs="Times New Roman"/>
          <w:sz w:val="24"/>
          <w:szCs w:val="24"/>
        </w:rPr>
        <w:t xml:space="preserve"> v2779201-05 /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Міністерство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URL: https://zakon.rada.gov.ua/rada/show/v2779201-05#Text (дата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: 18.05.2021). </w:t>
      </w:r>
    </w:p>
    <w:p w:rsidR="00745874" w:rsidRP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Варчук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О.А., Грабовенко О.А.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Право. 2016.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3. С. 19-24. </w:t>
      </w:r>
    </w:p>
    <w:p w:rsidR="00DD379E" w:rsidRPr="00745874" w:rsidRDefault="00745874" w:rsidP="0074587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87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Дубініна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М.В., Фалько Р.В.,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Янюк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М.О.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облікової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підприємствах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Економіка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підприємствами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74587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45874">
        <w:rPr>
          <w:rFonts w:ascii="Times New Roman" w:hAnsi="Times New Roman" w:cs="Times New Roman"/>
          <w:sz w:val="24"/>
          <w:szCs w:val="24"/>
        </w:rPr>
        <w:t xml:space="preserve"> 9. С. 294-297.</w:t>
      </w:r>
    </w:p>
    <w:sectPr w:rsidR="00DD379E" w:rsidRPr="00745874" w:rsidSect="007458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4"/>
    <w:rsid w:val="00284F7A"/>
    <w:rsid w:val="00745874"/>
    <w:rsid w:val="00D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B771-3A93-402D-9379-35C045F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....5656</cp:lastModifiedBy>
  <cp:revision>2</cp:revision>
  <dcterms:created xsi:type="dcterms:W3CDTF">2023-01-16T10:49:00Z</dcterms:created>
  <dcterms:modified xsi:type="dcterms:W3CDTF">2023-01-16T10:49:00Z</dcterms:modified>
</cp:coreProperties>
</file>