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29" w:rsidRPr="00FB2F91" w:rsidRDefault="003D2029" w:rsidP="006058E9">
      <w:pPr>
        <w:ind w:firstLine="0"/>
        <w:rPr>
          <w:b/>
          <w:sz w:val="24"/>
          <w:szCs w:val="24"/>
          <w:lang w:val="uk-UA"/>
        </w:rPr>
      </w:pPr>
      <w:r w:rsidRPr="00FB2F91">
        <w:rPr>
          <w:rFonts w:ascii="Times New Roman" w:hAnsi="Times New Roman" w:cs="Times New Roman"/>
          <w:b/>
          <w:sz w:val="24"/>
          <w:szCs w:val="24"/>
          <w:lang w:val="uk-UA"/>
        </w:rPr>
        <w:t xml:space="preserve">УДК </w:t>
      </w:r>
      <w:r w:rsidR="00EC5FE8">
        <w:rPr>
          <w:rFonts w:ascii="Times New Roman" w:hAnsi="Times New Roman" w:cs="Times New Roman"/>
          <w:b/>
          <w:sz w:val="24"/>
          <w:szCs w:val="24"/>
          <w:lang w:val="uk-UA"/>
        </w:rPr>
        <w:t>336.74(477)</w:t>
      </w:r>
    </w:p>
    <w:p w:rsidR="00FB2F91" w:rsidRDefault="00EC5FE8" w:rsidP="006058E9">
      <w:pPr>
        <w:ind w:firstLine="0"/>
        <w:jc w:val="center"/>
        <w:rPr>
          <w:rFonts w:ascii="Times New Roman" w:hAnsi="Times New Roman" w:cs="Times New Roman"/>
          <w:b/>
          <w:i/>
          <w:sz w:val="24"/>
          <w:szCs w:val="24"/>
          <w:lang w:val="uk-UA"/>
        </w:rPr>
      </w:pPr>
      <w:r>
        <w:rPr>
          <w:rFonts w:ascii="Times New Roman" w:hAnsi="Times New Roman" w:cs="Times New Roman"/>
          <w:b/>
          <w:i/>
          <w:sz w:val="24"/>
          <w:szCs w:val="24"/>
          <w:lang w:val="uk-UA"/>
        </w:rPr>
        <w:t>Глушко Аліна Дмитрівна,</w:t>
      </w:r>
    </w:p>
    <w:p w:rsidR="00EC5FE8" w:rsidRDefault="00EC5FE8" w:rsidP="00EC5FE8">
      <w:pPr>
        <w:ind w:firstLine="0"/>
        <w:jc w:val="center"/>
        <w:rPr>
          <w:rFonts w:ascii="Times New Roman" w:hAnsi="Times New Roman" w:cs="Times New Roman"/>
          <w:b/>
          <w:i/>
          <w:sz w:val="24"/>
          <w:szCs w:val="24"/>
          <w:lang w:val="uk-UA"/>
        </w:rPr>
      </w:pPr>
      <w:r w:rsidRPr="00974077">
        <w:rPr>
          <w:rFonts w:ascii="Times New Roman" w:hAnsi="Times New Roman" w:cs="Times New Roman"/>
          <w:i/>
          <w:sz w:val="24"/>
          <w:szCs w:val="24"/>
          <w:lang w:val="uk-UA"/>
        </w:rPr>
        <w:t>Полтавський національний технічний університет імені Юрія Кондратюка</w:t>
      </w:r>
      <w:r>
        <w:rPr>
          <w:rFonts w:ascii="Times New Roman" w:hAnsi="Times New Roman" w:cs="Times New Roman"/>
          <w:i/>
          <w:sz w:val="24"/>
          <w:szCs w:val="24"/>
          <w:lang w:val="uk-UA"/>
        </w:rPr>
        <w:t>,</w:t>
      </w:r>
    </w:p>
    <w:p w:rsidR="00EC5FE8" w:rsidRPr="00EC5FE8" w:rsidRDefault="00EC5FE8" w:rsidP="00EC5FE8">
      <w:pPr>
        <w:ind w:firstLine="0"/>
        <w:jc w:val="center"/>
        <w:rPr>
          <w:rFonts w:ascii="Times New Roman" w:hAnsi="Times New Roman" w:cs="Times New Roman"/>
          <w:i/>
          <w:sz w:val="24"/>
          <w:szCs w:val="24"/>
          <w:lang w:val="uk-UA"/>
        </w:rPr>
      </w:pPr>
      <w:r>
        <w:rPr>
          <w:rFonts w:ascii="Times New Roman" w:hAnsi="Times New Roman" w:cs="Times New Roman"/>
          <w:i/>
          <w:sz w:val="24"/>
          <w:szCs w:val="24"/>
          <w:lang w:val="uk-UA"/>
        </w:rPr>
        <w:t>кандидат економічних наук, доцент</w:t>
      </w:r>
    </w:p>
    <w:p w:rsidR="00974077" w:rsidRDefault="003D2029" w:rsidP="006058E9">
      <w:pPr>
        <w:ind w:firstLine="0"/>
        <w:jc w:val="center"/>
        <w:rPr>
          <w:rFonts w:ascii="Times New Roman" w:hAnsi="Times New Roman" w:cs="Times New Roman"/>
          <w:b/>
          <w:i/>
          <w:sz w:val="24"/>
          <w:szCs w:val="24"/>
          <w:lang w:val="uk-UA"/>
        </w:rPr>
      </w:pPr>
      <w:r w:rsidRPr="00974077">
        <w:rPr>
          <w:rFonts w:ascii="Times New Roman" w:hAnsi="Times New Roman" w:cs="Times New Roman"/>
          <w:b/>
          <w:i/>
          <w:sz w:val="24"/>
          <w:szCs w:val="24"/>
          <w:lang w:val="uk-UA"/>
        </w:rPr>
        <w:t>Філіп М</w:t>
      </w:r>
      <w:r w:rsidR="00974077">
        <w:rPr>
          <w:rFonts w:ascii="Times New Roman" w:hAnsi="Times New Roman" w:cs="Times New Roman"/>
          <w:b/>
          <w:i/>
          <w:sz w:val="24"/>
          <w:szCs w:val="24"/>
          <w:lang w:val="uk-UA"/>
        </w:rPr>
        <w:t xml:space="preserve">икола </w:t>
      </w:r>
      <w:r w:rsidRPr="00974077">
        <w:rPr>
          <w:rFonts w:ascii="Times New Roman" w:hAnsi="Times New Roman" w:cs="Times New Roman"/>
          <w:b/>
          <w:i/>
          <w:sz w:val="24"/>
          <w:szCs w:val="24"/>
          <w:lang w:val="uk-UA"/>
        </w:rPr>
        <w:t>Ф</w:t>
      </w:r>
      <w:r w:rsidR="00974077">
        <w:rPr>
          <w:rFonts w:ascii="Times New Roman" w:hAnsi="Times New Roman" w:cs="Times New Roman"/>
          <w:b/>
          <w:i/>
          <w:sz w:val="24"/>
          <w:szCs w:val="24"/>
          <w:lang w:val="uk-UA"/>
        </w:rPr>
        <w:t>едорович</w:t>
      </w:r>
      <w:r w:rsidRPr="00974077">
        <w:rPr>
          <w:rFonts w:ascii="Times New Roman" w:hAnsi="Times New Roman" w:cs="Times New Roman"/>
          <w:b/>
          <w:i/>
          <w:sz w:val="24"/>
          <w:szCs w:val="24"/>
          <w:lang w:val="uk-UA"/>
        </w:rPr>
        <w:t>,</w:t>
      </w:r>
    </w:p>
    <w:p w:rsidR="00974077" w:rsidRDefault="00974077" w:rsidP="006058E9">
      <w:pPr>
        <w:ind w:firstLine="0"/>
        <w:jc w:val="center"/>
        <w:rPr>
          <w:rFonts w:ascii="Times New Roman" w:hAnsi="Times New Roman" w:cs="Times New Roman"/>
          <w:b/>
          <w:i/>
          <w:sz w:val="24"/>
          <w:szCs w:val="24"/>
          <w:lang w:val="uk-UA"/>
        </w:rPr>
      </w:pPr>
      <w:r w:rsidRPr="00974077">
        <w:rPr>
          <w:rFonts w:ascii="Times New Roman" w:hAnsi="Times New Roman" w:cs="Times New Roman"/>
          <w:i/>
          <w:sz w:val="24"/>
          <w:szCs w:val="24"/>
          <w:lang w:val="uk-UA"/>
        </w:rPr>
        <w:t>Полтавський національний технічний університет імені Юрія Кондратюка</w:t>
      </w:r>
      <w:r>
        <w:rPr>
          <w:rFonts w:ascii="Times New Roman" w:hAnsi="Times New Roman" w:cs="Times New Roman"/>
          <w:i/>
          <w:sz w:val="24"/>
          <w:szCs w:val="24"/>
          <w:lang w:val="uk-UA"/>
        </w:rPr>
        <w:t>,</w:t>
      </w:r>
    </w:p>
    <w:p w:rsidR="003D2029" w:rsidRPr="00974077" w:rsidRDefault="003D2029" w:rsidP="006058E9">
      <w:pPr>
        <w:ind w:firstLine="0"/>
        <w:jc w:val="center"/>
        <w:rPr>
          <w:rFonts w:ascii="Times New Roman" w:hAnsi="Times New Roman" w:cs="Times New Roman"/>
          <w:i/>
          <w:sz w:val="24"/>
          <w:szCs w:val="24"/>
          <w:lang w:val="uk-UA"/>
        </w:rPr>
      </w:pPr>
      <w:r w:rsidRPr="00974077">
        <w:rPr>
          <w:rFonts w:ascii="Times New Roman" w:hAnsi="Times New Roman" w:cs="Times New Roman"/>
          <w:i/>
          <w:sz w:val="24"/>
          <w:szCs w:val="24"/>
          <w:lang w:val="uk-UA"/>
        </w:rPr>
        <w:t xml:space="preserve">студент </w:t>
      </w:r>
      <w:r w:rsidR="00974077">
        <w:rPr>
          <w:rFonts w:ascii="Times New Roman" w:hAnsi="Times New Roman" w:cs="Times New Roman"/>
          <w:i/>
          <w:sz w:val="24"/>
          <w:szCs w:val="24"/>
          <w:lang w:val="uk-UA"/>
        </w:rPr>
        <w:t>4 курсу</w:t>
      </w:r>
    </w:p>
    <w:p w:rsidR="00974077" w:rsidRDefault="00974077" w:rsidP="00974077">
      <w:pPr>
        <w:ind w:firstLine="0"/>
        <w:jc w:val="center"/>
        <w:rPr>
          <w:rFonts w:ascii="Times New Roman" w:hAnsi="Times New Roman" w:cs="Times New Roman"/>
          <w:b/>
          <w:i/>
          <w:sz w:val="24"/>
          <w:szCs w:val="24"/>
          <w:lang w:val="uk-UA"/>
        </w:rPr>
      </w:pPr>
      <w:proofErr w:type="spellStart"/>
      <w:r>
        <w:rPr>
          <w:rFonts w:ascii="Times New Roman" w:hAnsi="Times New Roman" w:cs="Times New Roman"/>
          <w:b/>
          <w:i/>
          <w:sz w:val="24"/>
          <w:szCs w:val="24"/>
          <w:lang w:val="uk-UA"/>
        </w:rPr>
        <w:t>Політько</w:t>
      </w:r>
      <w:proofErr w:type="spellEnd"/>
      <w:r>
        <w:rPr>
          <w:rFonts w:ascii="Times New Roman" w:hAnsi="Times New Roman" w:cs="Times New Roman"/>
          <w:b/>
          <w:i/>
          <w:sz w:val="24"/>
          <w:szCs w:val="24"/>
          <w:lang w:val="uk-UA"/>
        </w:rPr>
        <w:t xml:space="preserve"> Альона Сергіївна,</w:t>
      </w:r>
    </w:p>
    <w:p w:rsidR="00974077" w:rsidRDefault="00974077" w:rsidP="00974077">
      <w:pPr>
        <w:ind w:firstLine="0"/>
        <w:jc w:val="center"/>
        <w:rPr>
          <w:rFonts w:ascii="Times New Roman" w:hAnsi="Times New Roman" w:cs="Times New Roman"/>
          <w:b/>
          <w:i/>
          <w:sz w:val="24"/>
          <w:szCs w:val="24"/>
          <w:lang w:val="uk-UA"/>
        </w:rPr>
      </w:pPr>
      <w:r w:rsidRPr="00974077">
        <w:rPr>
          <w:rFonts w:ascii="Times New Roman" w:hAnsi="Times New Roman" w:cs="Times New Roman"/>
          <w:i/>
          <w:sz w:val="24"/>
          <w:szCs w:val="24"/>
          <w:lang w:val="uk-UA"/>
        </w:rPr>
        <w:t>Полтавський національний технічний університет імені Юрія Кондратюка</w:t>
      </w:r>
      <w:r>
        <w:rPr>
          <w:rFonts w:ascii="Times New Roman" w:hAnsi="Times New Roman" w:cs="Times New Roman"/>
          <w:i/>
          <w:sz w:val="24"/>
          <w:szCs w:val="24"/>
          <w:lang w:val="uk-UA"/>
        </w:rPr>
        <w:t>,</w:t>
      </w:r>
    </w:p>
    <w:p w:rsidR="00974077" w:rsidRPr="00974077" w:rsidRDefault="00974077" w:rsidP="00974077">
      <w:pPr>
        <w:ind w:firstLine="0"/>
        <w:jc w:val="center"/>
        <w:rPr>
          <w:rFonts w:ascii="Times New Roman" w:hAnsi="Times New Roman" w:cs="Times New Roman"/>
          <w:i/>
          <w:sz w:val="24"/>
          <w:szCs w:val="24"/>
          <w:lang w:val="uk-UA"/>
        </w:rPr>
      </w:pPr>
      <w:r w:rsidRPr="00974077">
        <w:rPr>
          <w:rFonts w:ascii="Times New Roman" w:hAnsi="Times New Roman" w:cs="Times New Roman"/>
          <w:i/>
          <w:sz w:val="24"/>
          <w:szCs w:val="24"/>
          <w:lang w:val="uk-UA"/>
        </w:rPr>
        <w:t>студент</w:t>
      </w:r>
      <w:r>
        <w:rPr>
          <w:rFonts w:ascii="Times New Roman" w:hAnsi="Times New Roman" w:cs="Times New Roman"/>
          <w:i/>
          <w:sz w:val="24"/>
          <w:szCs w:val="24"/>
          <w:lang w:val="uk-UA"/>
        </w:rPr>
        <w:t>ка</w:t>
      </w:r>
      <w:r w:rsidRPr="00974077">
        <w:rPr>
          <w:rFonts w:ascii="Times New Roman" w:hAnsi="Times New Roman" w:cs="Times New Roman"/>
          <w:i/>
          <w:sz w:val="24"/>
          <w:szCs w:val="24"/>
          <w:lang w:val="uk-UA"/>
        </w:rPr>
        <w:t xml:space="preserve"> </w:t>
      </w:r>
      <w:r>
        <w:rPr>
          <w:rFonts w:ascii="Times New Roman" w:hAnsi="Times New Roman" w:cs="Times New Roman"/>
          <w:i/>
          <w:sz w:val="24"/>
          <w:szCs w:val="24"/>
          <w:lang w:val="uk-UA"/>
        </w:rPr>
        <w:t>4 курсу</w:t>
      </w:r>
    </w:p>
    <w:p w:rsidR="003D2029" w:rsidRPr="00974077" w:rsidRDefault="003D2029" w:rsidP="006058E9">
      <w:pPr>
        <w:ind w:firstLine="0"/>
        <w:jc w:val="center"/>
        <w:rPr>
          <w:rFonts w:ascii="Times New Roman" w:hAnsi="Times New Roman" w:cs="Times New Roman"/>
          <w:i/>
          <w:sz w:val="24"/>
          <w:szCs w:val="24"/>
          <w:lang w:val="uk-UA"/>
        </w:rPr>
      </w:pPr>
    </w:p>
    <w:p w:rsidR="003D2029" w:rsidRPr="00974077" w:rsidRDefault="00411A6C" w:rsidP="00411A6C">
      <w:pPr>
        <w:tabs>
          <w:tab w:val="left" w:pos="5955"/>
        </w:tabs>
        <w:ind w:firstLine="709"/>
        <w:jc w:val="center"/>
        <w:rPr>
          <w:rFonts w:ascii="Times New Roman" w:hAnsi="Times New Roman" w:cs="Times New Roman"/>
          <w:sz w:val="24"/>
          <w:szCs w:val="24"/>
          <w:lang w:val="uk-UA"/>
        </w:rPr>
      </w:pPr>
      <w:r w:rsidRPr="00974077">
        <w:rPr>
          <w:rFonts w:ascii="Times New Roman" w:hAnsi="Times New Roman" w:cs="Times New Roman"/>
          <w:sz w:val="24"/>
          <w:szCs w:val="24"/>
          <w:lang w:val="uk-UA"/>
        </w:rPr>
        <w:t xml:space="preserve">АНАЛІЗ РИНКУ </w:t>
      </w:r>
      <w:r w:rsidR="00EC5FE8">
        <w:rPr>
          <w:rFonts w:ascii="Times New Roman" w:hAnsi="Times New Roman" w:cs="Times New Roman"/>
          <w:sz w:val="24"/>
          <w:szCs w:val="24"/>
          <w:lang w:val="uk-UA"/>
        </w:rPr>
        <w:t xml:space="preserve">НЕБАНКІВСЬКИХ </w:t>
      </w:r>
      <w:r w:rsidR="006058E9" w:rsidRPr="00974077">
        <w:rPr>
          <w:rFonts w:ascii="Times New Roman" w:hAnsi="Times New Roman" w:cs="Times New Roman"/>
          <w:sz w:val="24"/>
          <w:szCs w:val="24"/>
          <w:lang w:val="uk-UA"/>
        </w:rPr>
        <w:t>Ф</w:t>
      </w:r>
      <w:r w:rsidRPr="00974077">
        <w:rPr>
          <w:rFonts w:ascii="Times New Roman" w:hAnsi="Times New Roman" w:cs="Times New Roman"/>
          <w:sz w:val="24"/>
          <w:szCs w:val="24"/>
          <w:lang w:val="uk-UA"/>
        </w:rPr>
        <w:t>ІНАНСОВИХ ПОСЛУГ</w:t>
      </w:r>
      <w:r w:rsidR="00EC5FE8">
        <w:rPr>
          <w:rFonts w:ascii="Times New Roman" w:hAnsi="Times New Roman" w:cs="Times New Roman"/>
          <w:sz w:val="24"/>
          <w:szCs w:val="24"/>
          <w:lang w:val="uk-UA"/>
        </w:rPr>
        <w:t xml:space="preserve"> В УКРАЇНІ</w:t>
      </w:r>
    </w:p>
    <w:p w:rsidR="00411A6C" w:rsidRPr="00974077" w:rsidRDefault="00411A6C" w:rsidP="00411A6C">
      <w:pPr>
        <w:tabs>
          <w:tab w:val="left" w:pos="5955"/>
        </w:tabs>
        <w:ind w:firstLine="709"/>
        <w:jc w:val="center"/>
        <w:rPr>
          <w:rFonts w:ascii="Times New Roman" w:hAnsi="Times New Roman" w:cs="Times New Roman"/>
          <w:sz w:val="24"/>
          <w:szCs w:val="24"/>
          <w:lang w:val="uk-UA"/>
        </w:rPr>
      </w:pPr>
    </w:p>
    <w:p w:rsidR="004860C2" w:rsidRPr="00974077" w:rsidRDefault="004860C2" w:rsidP="00444E63">
      <w:pPr>
        <w:tabs>
          <w:tab w:val="left" w:pos="720"/>
        </w:tabs>
        <w:autoSpaceDE w:val="0"/>
        <w:autoSpaceDN w:val="0"/>
        <w:adjustRightInd w:val="0"/>
        <w:ind w:firstLine="709"/>
        <w:jc w:val="both"/>
        <w:rPr>
          <w:rFonts w:ascii="Times New Roman" w:hAnsi="Times New Roman" w:cs="Times New Roman"/>
          <w:sz w:val="24"/>
          <w:szCs w:val="24"/>
          <w:lang w:val="uk-UA"/>
        </w:rPr>
      </w:pPr>
      <w:r w:rsidRPr="00974077">
        <w:rPr>
          <w:rFonts w:ascii="Times New Roman" w:hAnsi="Times New Roman" w:cs="Times New Roman"/>
          <w:sz w:val="24"/>
          <w:szCs w:val="24"/>
          <w:lang w:val="uk-UA"/>
        </w:rPr>
        <w:t>Успішний економічний розвиток країни неможливий без ефективного конкурентного фінансового посередництва. У більшості країн, які перейшли на ринковий метод господарювання, поряд із розвитком банківської системи забезпечується активізація діяльності небанківських фінансових установ</w:t>
      </w:r>
      <w:r w:rsidR="006058E9" w:rsidRPr="00974077">
        <w:rPr>
          <w:rFonts w:ascii="Times New Roman" w:hAnsi="Times New Roman" w:cs="Times New Roman"/>
          <w:sz w:val="24"/>
          <w:szCs w:val="24"/>
          <w:lang w:val="uk-UA"/>
        </w:rPr>
        <w:t>.</w:t>
      </w:r>
    </w:p>
    <w:p w:rsidR="00F058D5" w:rsidRPr="00974077" w:rsidRDefault="00F058D5" w:rsidP="006058E9">
      <w:pPr>
        <w:tabs>
          <w:tab w:val="left" w:pos="720"/>
        </w:tabs>
        <w:autoSpaceDE w:val="0"/>
        <w:autoSpaceDN w:val="0"/>
        <w:adjustRightInd w:val="0"/>
        <w:ind w:firstLine="709"/>
        <w:jc w:val="both"/>
        <w:rPr>
          <w:rFonts w:ascii="Times New Roman" w:hAnsi="Times New Roman" w:cs="Times New Roman"/>
          <w:sz w:val="24"/>
          <w:szCs w:val="24"/>
          <w:lang w:val="uk-UA"/>
        </w:rPr>
      </w:pPr>
      <w:r w:rsidRPr="00974077">
        <w:rPr>
          <w:rFonts w:ascii="Times New Roman" w:hAnsi="Times New Roman" w:cs="Times New Roman"/>
          <w:sz w:val="24"/>
          <w:szCs w:val="24"/>
          <w:lang w:val="uk-UA"/>
        </w:rPr>
        <w:t xml:space="preserve">Небанківський фінансовий сектор України включає страхові компанії, кредитні спілки та інші небанківські кредитні установи, юридичних осіб публічного права, що надають фінансові послуги, недержавні пенсійні фонди та їх адміністраторів, ломбарди, фінансові компанії (які надають такі послуги, як фінансовий лізинг, факторинг, надання </w:t>
      </w:r>
      <w:proofErr w:type="spellStart"/>
      <w:r w:rsidRPr="00974077">
        <w:rPr>
          <w:rFonts w:ascii="Times New Roman" w:hAnsi="Times New Roman" w:cs="Times New Roman"/>
          <w:sz w:val="24"/>
          <w:szCs w:val="24"/>
          <w:lang w:val="uk-UA"/>
        </w:rPr>
        <w:t>порук</w:t>
      </w:r>
      <w:proofErr w:type="spellEnd"/>
      <w:r w:rsidRPr="00974077">
        <w:rPr>
          <w:rFonts w:ascii="Times New Roman" w:hAnsi="Times New Roman" w:cs="Times New Roman"/>
          <w:sz w:val="24"/>
          <w:szCs w:val="24"/>
          <w:lang w:val="uk-UA"/>
        </w:rPr>
        <w:t xml:space="preserve"> та гарантій) та юридичних осіб, які не мають статусу фінансової установи, але мають право надавати певні види фінансових послуг (фінансовий лізинг).</w:t>
      </w:r>
    </w:p>
    <w:p w:rsidR="003D2029" w:rsidRPr="00974077" w:rsidRDefault="00F058D5" w:rsidP="006058E9">
      <w:pPr>
        <w:tabs>
          <w:tab w:val="left" w:pos="720"/>
        </w:tabs>
        <w:autoSpaceDE w:val="0"/>
        <w:autoSpaceDN w:val="0"/>
        <w:adjustRightInd w:val="0"/>
        <w:ind w:firstLine="709"/>
        <w:jc w:val="both"/>
        <w:rPr>
          <w:rFonts w:ascii="Times New Roman" w:hAnsi="Times New Roman" w:cs="Times New Roman"/>
          <w:sz w:val="24"/>
          <w:szCs w:val="24"/>
          <w:lang w:val="uk-UA"/>
        </w:rPr>
      </w:pPr>
      <w:r w:rsidRPr="00974077">
        <w:rPr>
          <w:rFonts w:ascii="Times New Roman" w:hAnsi="Times New Roman" w:cs="Times New Roman"/>
          <w:sz w:val="24"/>
          <w:szCs w:val="24"/>
          <w:lang w:val="uk-UA"/>
        </w:rPr>
        <w:t>Ступінь розвитку ринку фінансових послуг обумовлюється кількістю та якістю фінансових установ, а також різноманітністю фінансових послуг, які вони можуть запропонувати.</w:t>
      </w:r>
      <w:r w:rsidR="00FB2F91">
        <w:rPr>
          <w:rFonts w:ascii="Times New Roman" w:hAnsi="Times New Roman" w:cs="Times New Roman"/>
          <w:sz w:val="24"/>
          <w:szCs w:val="24"/>
          <w:lang w:val="uk-UA"/>
        </w:rPr>
        <w:t xml:space="preserve"> </w:t>
      </w:r>
      <w:r w:rsidRPr="00974077">
        <w:rPr>
          <w:rFonts w:ascii="Times New Roman" w:hAnsi="Times New Roman" w:cs="Times New Roman"/>
          <w:sz w:val="24"/>
          <w:szCs w:val="24"/>
          <w:lang w:val="uk-UA"/>
        </w:rPr>
        <w:t>Так, станом на 31.12.2015</w:t>
      </w:r>
      <w:r w:rsidR="00974077">
        <w:rPr>
          <w:rFonts w:ascii="Times New Roman" w:hAnsi="Times New Roman" w:cs="Times New Roman"/>
          <w:sz w:val="24"/>
          <w:szCs w:val="24"/>
          <w:lang w:val="uk-UA"/>
        </w:rPr>
        <w:t xml:space="preserve"> р.</w:t>
      </w:r>
      <w:r w:rsidRPr="00974077">
        <w:rPr>
          <w:rFonts w:ascii="Times New Roman" w:hAnsi="Times New Roman" w:cs="Times New Roman"/>
          <w:sz w:val="24"/>
          <w:szCs w:val="24"/>
          <w:lang w:val="uk-UA"/>
        </w:rPr>
        <w:t xml:space="preserve"> в Державному реєстрі фінансових установ, який веде </w:t>
      </w:r>
      <w:r w:rsidR="00974077">
        <w:rPr>
          <w:rFonts w:ascii="Times New Roman" w:hAnsi="Times New Roman" w:cs="Times New Roman"/>
          <w:sz w:val="24"/>
          <w:szCs w:val="24"/>
          <w:lang w:val="uk-UA"/>
        </w:rPr>
        <w:t>Національна комісія, що здійснює державне регулювання у сфері ринків фінансових послуг, налічувалося 2</w:t>
      </w:r>
      <w:r w:rsidRPr="00974077">
        <w:rPr>
          <w:rFonts w:ascii="Times New Roman" w:hAnsi="Times New Roman" w:cs="Times New Roman"/>
          <w:sz w:val="24"/>
          <w:szCs w:val="24"/>
          <w:lang w:val="uk-UA"/>
        </w:rPr>
        <w:t>239 фінансових установ. Протягом 2016 року статусу фінансової установи</w:t>
      </w:r>
      <w:r w:rsidR="00FB2F91">
        <w:rPr>
          <w:rFonts w:ascii="Times New Roman" w:hAnsi="Times New Roman" w:cs="Times New Roman"/>
          <w:sz w:val="24"/>
          <w:szCs w:val="24"/>
          <w:lang w:val="uk-UA"/>
        </w:rPr>
        <w:t xml:space="preserve"> набули</w:t>
      </w:r>
      <w:r w:rsidRPr="00974077">
        <w:rPr>
          <w:rFonts w:ascii="Times New Roman" w:hAnsi="Times New Roman" w:cs="Times New Roman"/>
          <w:sz w:val="24"/>
          <w:szCs w:val="24"/>
          <w:lang w:val="uk-UA"/>
        </w:rPr>
        <w:t xml:space="preserve"> 245 установ, виключено з Державного реєстру 359 фінансових установ. Станом на 31.12.2016 </w:t>
      </w:r>
      <w:r w:rsidR="00974077">
        <w:rPr>
          <w:rFonts w:ascii="Times New Roman" w:hAnsi="Times New Roman" w:cs="Times New Roman"/>
          <w:sz w:val="24"/>
          <w:szCs w:val="24"/>
          <w:lang w:val="uk-UA"/>
        </w:rPr>
        <w:t xml:space="preserve">р. </w:t>
      </w:r>
      <w:r w:rsidRPr="00974077">
        <w:rPr>
          <w:rFonts w:ascii="Times New Roman" w:hAnsi="Times New Roman" w:cs="Times New Roman"/>
          <w:sz w:val="24"/>
          <w:szCs w:val="24"/>
          <w:lang w:val="uk-UA"/>
        </w:rPr>
        <w:t>в Державному реєстрі фі</w:t>
      </w:r>
      <w:r w:rsidR="00974077">
        <w:rPr>
          <w:rFonts w:ascii="Times New Roman" w:hAnsi="Times New Roman" w:cs="Times New Roman"/>
          <w:sz w:val="24"/>
          <w:szCs w:val="24"/>
          <w:lang w:val="uk-UA"/>
        </w:rPr>
        <w:t>нансових установ налічувалося 2</w:t>
      </w:r>
      <w:r w:rsidRPr="00974077">
        <w:rPr>
          <w:rFonts w:ascii="Times New Roman" w:hAnsi="Times New Roman" w:cs="Times New Roman"/>
          <w:sz w:val="24"/>
          <w:szCs w:val="24"/>
          <w:lang w:val="uk-UA"/>
        </w:rPr>
        <w:t>125 фінансових установ (табл. 1)</w:t>
      </w:r>
      <w:r w:rsidR="00974077">
        <w:rPr>
          <w:rFonts w:ascii="Times New Roman" w:hAnsi="Times New Roman" w:cs="Times New Roman"/>
          <w:sz w:val="24"/>
          <w:szCs w:val="24"/>
          <w:lang w:val="uk-UA"/>
        </w:rPr>
        <w:t>.</w:t>
      </w:r>
    </w:p>
    <w:p w:rsidR="00F058D5" w:rsidRPr="00FB2F91" w:rsidRDefault="00F058D5" w:rsidP="00444E63">
      <w:pPr>
        <w:tabs>
          <w:tab w:val="left" w:pos="720"/>
        </w:tabs>
        <w:autoSpaceDE w:val="0"/>
        <w:autoSpaceDN w:val="0"/>
        <w:adjustRightInd w:val="0"/>
        <w:ind w:firstLine="709"/>
        <w:jc w:val="right"/>
        <w:rPr>
          <w:rFonts w:ascii="Times New Roman" w:hAnsi="Times New Roman" w:cs="Times New Roman"/>
          <w:sz w:val="24"/>
          <w:szCs w:val="24"/>
          <w:lang w:val="uk-UA"/>
        </w:rPr>
      </w:pPr>
      <w:r w:rsidRPr="00FB2F91">
        <w:rPr>
          <w:rFonts w:ascii="Times New Roman" w:hAnsi="Times New Roman" w:cs="Times New Roman"/>
          <w:sz w:val="24"/>
          <w:szCs w:val="24"/>
          <w:lang w:val="uk-UA"/>
        </w:rPr>
        <w:t>Таблиця 1</w:t>
      </w:r>
    </w:p>
    <w:p w:rsidR="00B84A04" w:rsidRPr="00974077" w:rsidRDefault="00B84A04" w:rsidP="00FB2F91">
      <w:pPr>
        <w:tabs>
          <w:tab w:val="left" w:pos="720"/>
        </w:tabs>
        <w:autoSpaceDE w:val="0"/>
        <w:autoSpaceDN w:val="0"/>
        <w:adjustRightInd w:val="0"/>
        <w:spacing w:after="240"/>
        <w:ind w:firstLine="709"/>
        <w:jc w:val="center"/>
        <w:rPr>
          <w:rFonts w:ascii="Times New Roman" w:hAnsi="Times New Roman" w:cs="Times New Roman"/>
          <w:bCs/>
          <w:sz w:val="24"/>
          <w:szCs w:val="24"/>
          <w:lang w:val="uk-UA"/>
        </w:rPr>
      </w:pPr>
      <w:r w:rsidRPr="00974077">
        <w:rPr>
          <w:rFonts w:ascii="Times New Roman" w:hAnsi="Times New Roman" w:cs="Times New Roman"/>
          <w:bCs/>
          <w:sz w:val="24"/>
          <w:szCs w:val="24"/>
          <w:lang w:val="uk-UA"/>
        </w:rPr>
        <w:t>Державний реєстр фінансових установ у 2014-</w:t>
      </w:r>
      <w:r w:rsidR="00974077">
        <w:rPr>
          <w:rFonts w:ascii="Times New Roman" w:hAnsi="Times New Roman" w:cs="Times New Roman"/>
          <w:bCs/>
          <w:sz w:val="24"/>
          <w:szCs w:val="24"/>
          <w:lang w:val="uk-UA"/>
        </w:rPr>
        <w:t>20</w:t>
      </w:r>
      <w:r w:rsidRPr="00974077">
        <w:rPr>
          <w:rFonts w:ascii="Times New Roman" w:hAnsi="Times New Roman" w:cs="Times New Roman"/>
          <w:bCs/>
          <w:sz w:val="24"/>
          <w:szCs w:val="24"/>
          <w:lang w:val="uk-UA"/>
        </w:rPr>
        <w:t>16 роках</w:t>
      </w:r>
    </w:p>
    <w:tbl>
      <w:tblPr>
        <w:tblW w:w="9401" w:type="dxa"/>
        <w:jc w:val="center"/>
        <w:tblLayout w:type="fixed"/>
        <w:tblLook w:val="0000" w:firstRow="0" w:lastRow="0" w:firstColumn="0" w:lastColumn="0" w:noHBand="0" w:noVBand="0"/>
      </w:tblPr>
      <w:tblGrid>
        <w:gridCol w:w="2718"/>
        <w:gridCol w:w="1134"/>
        <w:gridCol w:w="1134"/>
        <w:gridCol w:w="992"/>
        <w:gridCol w:w="1276"/>
        <w:gridCol w:w="1155"/>
        <w:gridCol w:w="992"/>
      </w:tblGrid>
      <w:tr w:rsidR="00FD37E3" w:rsidRPr="003D2029" w:rsidTr="00E632EA">
        <w:trPr>
          <w:trHeight w:val="269"/>
          <w:jc w:val="center"/>
        </w:trPr>
        <w:tc>
          <w:tcPr>
            <w:tcW w:w="2718" w:type="dxa"/>
            <w:vMerge w:val="restart"/>
            <w:tcBorders>
              <w:top w:val="single" w:sz="4" w:space="0" w:color="auto"/>
              <w:left w:val="single" w:sz="8" w:space="0" w:color="auto"/>
              <w:right w:val="single" w:sz="8" w:space="0" w:color="auto"/>
            </w:tcBorders>
            <w:shd w:val="clear" w:color="auto" w:fill="auto"/>
            <w:vAlign w:val="center"/>
          </w:tcPr>
          <w:p w:rsidR="00FD37E3" w:rsidRPr="00974077" w:rsidRDefault="00FD37E3"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sz w:val="20"/>
                <w:szCs w:val="20"/>
                <w:lang w:val="uk-UA"/>
              </w:rPr>
              <w:t>Фінансові установи</w:t>
            </w:r>
          </w:p>
        </w:tc>
        <w:tc>
          <w:tcPr>
            <w:tcW w:w="2268" w:type="dxa"/>
            <w:gridSpan w:val="2"/>
            <w:tcBorders>
              <w:top w:val="single" w:sz="4" w:space="0" w:color="auto"/>
              <w:left w:val="nil"/>
              <w:bottom w:val="single" w:sz="8" w:space="0" w:color="auto"/>
              <w:right w:val="single" w:sz="8" w:space="0" w:color="auto"/>
            </w:tcBorders>
            <w:shd w:val="clear" w:color="auto" w:fill="auto"/>
            <w:vAlign w:val="center"/>
          </w:tcPr>
          <w:p w:rsidR="00FD37E3" w:rsidRPr="00974077" w:rsidRDefault="00FD37E3"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sz w:val="20"/>
                <w:szCs w:val="20"/>
                <w:lang w:val="uk-UA"/>
              </w:rPr>
              <w:t>станом на</w:t>
            </w:r>
          </w:p>
        </w:tc>
        <w:tc>
          <w:tcPr>
            <w:tcW w:w="2268" w:type="dxa"/>
            <w:gridSpan w:val="2"/>
            <w:tcBorders>
              <w:top w:val="single" w:sz="4" w:space="0" w:color="auto"/>
              <w:left w:val="nil"/>
              <w:bottom w:val="single" w:sz="4" w:space="0" w:color="auto"/>
              <w:right w:val="single" w:sz="8" w:space="0" w:color="auto"/>
            </w:tcBorders>
            <w:shd w:val="clear" w:color="auto" w:fill="auto"/>
            <w:vAlign w:val="center"/>
          </w:tcPr>
          <w:p w:rsidR="00FD37E3" w:rsidRDefault="00FD37E3"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протягом 2016 року</w:t>
            </w:r>
          </w:p>
        </w:tc>
        <w:tc>
          <w:tcPr>
            <w:tcW w:w="1155" w:type="dxa"/>
            <w:vMerge w:val="restart"/>
            <w:tcBorders>
              <w:top w:val="single" w:sz="4" w:space="0" w:color="auto"/>
              <w:left w:val="single" w:sz="8" w:space="0" w:color="auto"/>
              <w:right w:val="single" w:sz="8" w:space="0" w:color="auto"/>
            </w:tcBorders>
            <w:vAlign w:val="center"/>
          </w:tcPr>
          <w:p w:rsidR="00FD37E3" w:rsidRPr="00FD37E3" w:rsidRDefault="00FD37E3" w:rsidP="00FB2F91">
            <w:pPr>
              <w:ind w:firstLine="0"/>
              <w:jc w:val="center"/>
              <w:rPr>
                <w:rFonts w:ascii="Times New Roman" w:hAnsi="Times New Roman" w:cs="Times New Roman"/>
                <w:bCs/>
                <w:sz w:val="20"/>
                <w:szCs w:val="20"/>
                <w:lang w:val="uk-UA"/>
              </w:rPr>
            </w:pPr>
            <w:r w:rsidRPr="00FD37E3">
              <w:rPr>
                <w:rFonts w:ascii="Times New Roman" w:hAnsi="Times New Roman" w:cs="Times New Roman"/>
                <w:bCs/>
                <w:sz w:val="20"/>
                <w:szCs w:val="20"/>
                <w:lang w:val="uk-UA"/>
              </w:rPr>
              <w:t>Станом на 31.12.2016</w:t>
            </w:r>
          </w:p>
        </w:tc>
        <w:tc>
          <w:tcPr>
            <w:tcW w:w="992" w:type="dxa"/>
            <w:vMerge w:val="restart"/>
            <w:tcBorders>
              <w:top w:val="single" w:sz="4" w:space="0" w:color="auto"/>
              <w:left w:val="single" w:sz="8" w:space="0" w:color="auto"/>
              <w:right w:val="single" w:sz="8" w:space="0" w:color="auto"/>
            </w:tcBorders>
            <w:shd w:val="clear" w:color="auto" w:fill="auto"/>
            <w:vAlign w:val="center"/>
          </w:tcPr>
          <w:p w:rsidR="00FD37E3" w:rsidRPr="00FE0FDC" w:rsidRDefault="00FD37E3"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Відхилення (шт.)</w:t>
            </w:r>
          </w:p>
        </w:tc>
      </w:tr>
      <w:tr w:rsidR="00FD37E3" w:rsidRPr="003D2029" w:rsidTr="00E632EA">
        <w:trPr>
          <w:trHeight w:val="249"/>
          <w:jc w:val="center"/>
        </w:trPr>
        <w:tc>
          <w:tcPr>
            <w:tcW w:w="2718" w:type="dxa"/>
            <w:vMerge/>
            <w:tcBorders>
              <w:left w:val="single" w:sz="8" w:space="0" w:color="auto"/>
              <w:bottom w:val="single" w:sz="8" w:space="0" w:color="auto"/>
              <w:right w:val="single" w:sz="8" w:space="0" w:color="auto"/>
            </w:tcBorders>
            <w:shd w:val="clear" w:color="auto" w:fill="auto"/>
            <w:vAlign w:val="bottom"/>
          </w:tcPr>
          <w:p w:rsidR="00FD37E3" w:rsidRPr="00974077" w:rsidRDefault="00FD37E3" w:rsidP="00974077">
            <w:pPr>
              <w:ind w:firstLine="0"/>
              <w:rPr>
                <w:rFonts w:ascii="Times New Roman" w:hAnsi="Times New Roman" w:cs="Times New Roman"/>
                <w:bCs/>
                <w:sz w:val="20"/>
                <w:szCs w:val="20"/>
                <w:lang w:val="uk-UA"/>
              </w:rPr>
            </w:pPr>
          </w:p>
        </w:tc>
        <w:tc>
          <w:tcPr>
            <w:tcW w:w="1134" w:type="dxa"/>
            <w:tcBorders>
              <w:top w:val="nil"/>
              <w:left w:val="nil"/>
              <w:bottom w:val="single" w:sz="8" w:space="0" w:color="auto"/>
              <w:right w:val="nil"/>
            </w:tcBorders>
            <w:shd w:val="clear" w:color="auto" w:fill="auto"/>
            <w:vAlign w:val="center"/>
          </w:tcPr>
          <w:p w:rsidR="00FD37E3" w:rsidRPr="00974077" w:rsidRDefault="00FD37E3"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sz w:val="20"/>
                <w:szCs w:val="20"/>
                <w:lang w:val="uk-UA"/>
              </w:rPr>
              <w:t>31.12.2014</w:t>
            </w:r>
          </w:p>
        </w:tc>
        <w:tc>
          <w:tcPr>
            <w:tcW w:w="1134" w:type="dxa"/>
            <w:tcBorders>
              <w:top w:val="nil"/>
              <w:left w:val="single" w:sz="8" w:space="0" w:color="auto"/>
              <w:bottom w:val="single" w:sz="8" w:space="0" w:color="auto"/>
              <w:right w:val="single" w:sz="8" w:space="0" w:color="auto"/>
            </w:tcBorders>
            <w:shd w:val="clear" w:color="auto" w:fill="auto"/>
            <w:vAlign w:val="center"/>
          </w:tcPr>
          <w:p w:rsidR="00FD37E3" w:rsidRPr="00974077" w:rsidRDefault="00FD37E3" w:rsidP="00FB2F91">
            <w:pPr>
              <w:ind w:firstLine="0"/>
              <w:jc w:val="center"/>
              <w:rPr>
                <w:rFonts w:ascii="Times New Roman" w:hAnsi="Times New Roman" w:cs="Times New Roman"/>
                <w:sz w:val="20"/>
                <w:szCs w:val="20"/>
                <w:lang w:val="uk-UA"/>
              </w:rPr>
            </w:pPr>
            <w:r w:rsidRPr="00974077">
              <w:rPr>
                <w:rFonts w:ascii="Times New Roman" w:hAnsi="Times New Roman" w:cs="Times New Roman"/>
                <w:bCs/>
                <w:sz w:val="20"/>
                <w:szCs w:val="20"/>
                <w:lang w:val="uk-UA"/>
              </w:rPr>
              <w:t>31.12.2015</w:t>
            </w:r>
          </w:p>
        </w:tc>
        <w:tc>
          <w:tcPr>
            <w:tcW w:w="992" w:type="dxa"/>
            <w:tcBorders>
              <w:top w:val="single" w:sz="4" w:space="0" w:color="auto"/>
              <w:left w:val="nil"/>
              <w:bottom w:val="single" w:sz="8" w:space="0" w:color="auto"/>
              <w:right w:val="single" w:sz="8" w:space="0" w:color="auto"/>
            </w:tcBorders>
            <w:shd w:val="clear" w:color="auto" w:fill="auto"/>
            <w:vAlign w:val="center"/>
          </w:tcPr>
          <w:p w:rsidR="00FD37E3" w:rsidRPr="00974077" w:rsidRDefault="00FD37E3" w:rsidP="00FB2F91">
            <w:pPr>
              <w:ind w:firstLine="0"/>
              <w:jc w:val="center"/>
              <w:rPr>
                <w:rFonts w:ascii="Times New Roman" w:hAnsi="Times New Roman" w:cs="Times New Roman"/>
                <w:bCs/>
                <w:sz w:val="20"/>
                <w:szCs w:val="20"/>
                <w:lang w:val="uk-UA"/>
              </w:rPr>
            </w:pPr>
            <w:proofErr w:type="spellStart"/>
            <w:r>
              <w:rPr>
                <w:rFonts w:ascii="Times New Roman" w:hAnsi="Times New Roman" w:cs="Times New Roman"/>
                <w:bCs/>
                <w:sz w:val="20"/>
                <w:szCs w:val="20"/>
                <w:lang w:val="uk-UA"/>
              </w:rPr>
              <w:t>внесено</w:t>
            </w:r>
            <w:proofErr w:type="spellEnd"/>
          </w:p>
        </w:tc>
        <w:tc>
          <w:tcPr>
            <w:tcW w:w="1276" w:type="dxa"/>
            <w:tcBorders>
              <w:top w:val="single" w:sz="4" w:space="0" w:color="auto"/>
              <w:left w:val="nil"/>
              <w:bottom w:val="single" w:sz="8" w:space="0" w:color="auto"/>
              <w:right w:val="single" w:sz="8" w:space="0" w:color="auto"/>
            </w:tcBorders>
            <w:vAlign w:val="center"/>
          </w:tcPr>
          <w:p w:rsidR="00FD37E3" w:rsidRDefault="00FD37E3"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виключено</w:t>
            </w:r>
          </w:p>
        </w:tc>
        <w:tc>
          <w:tcPr>
            <w:tcW w:w="1155" w:type="dxa"/>
            <w:vMerge/>
            <w:tcBorders>
              <w:left w:val="single" w:sz="8" w:space="0" w:color="auto"/>
              <w:bottom w:val="single" w:sz="8" w:space="0" w:color="auto"/>
              <w:right w:val="single" w:sz="8" w:space="0" w:color="auto"/>
            </w:tcBorders>
          </w:tcPr>
          <w:p w:rsidR="00FD37E3" w:rsidRPr="00FD37E3" w:rsidRDefault="00FD37E3" w:rsidP="00974077">
            <w:pPr>
              <w:ind w:firstLine="0"/>
              <w:jc w:val="center"/>
              <w:rPr>
                <w:rFonts w:ascii="Times New Roman" w:hAnsi="Times New Roman" w:cs="Times New Roman"/>
                <w:bCs/>
                <w:sz w:val="20"/>
                <w:szCs w:val="20"/>
                <w:lang w:val="uk-UA"/>
              </w:rPr>
            </w:pPr>
          </w:p>
        </w:tc>
        <w:tc>
          <w:tcPr>
            <w:tcW w:w="992" w:type="dxa"/>
            <w:vMerge/>
            <w:tcBorders>
              <w:left w:val="single" w:sz="8" w:space="0" w:color="auto"/>
              <w:bottom w:val="single" w:sz="8" w:space="0" w:color="auto"/>
              <w:right w:val="single" w:sz="8" w:space="0" w:color="auto"/>
            </w:tcBorders>
            <w:shd w:val="clear" w:color="auto" w:fill="auto"/>
            <w:vAlign w:val="bottom"/>
          </w:tcPr>
          <w:p w:rsidR="00FD37E3" w:rsidRPr="00974077" w:rsidRDefault="00FD37E3" w:rsidP="00974077">
            <w:pPr>
              <w:ind w:firstLine="0"/>
              <w:jc w:val="center"/>
              <w:rPr>
                <w:rFonts w:ascii="Times New Roman" w:hAnsi="Times New Roman" w:cs="Times New Roman"/>
                <w:bCs/>
                <w:sz w:val="20"/>
                <w:szCs w:val="20"/>
                <w:lang w:val="uk-UA"/>
              </w:rPr>
            </w:pPr>
          </w:p>
        </w:tc>
      </w:tr>
      <w:tr w:rsidR="00FB2F91" w:rsidRPr="003D2029" w:rsidTr="00E632EA">
        <w:trPr>
          <w:trHeight w:val="259"/>
          <w:jc w:val="center"/>
        </w:trPr>
        <w:tc>
          <w:tcPr>
            <w:tcW w:w="2718"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rPr>
                <w:rFonts w:ascii="Times New Roman" w:hAnsi="Times New Roman" w:cs="Times New Roman"/>
                <w:bCs/>
                <w:sz w:val="20"/>
                <w:szCs w:val="20"/>
                <w:lang w:val="uk-UA"/>
              </w:rPr>
            </w:pPr>
            <w:r w:rsidRPr="00974077">
              <w:rPr>
                <w:rFonts w:ascii="Times New Roman" w:hAnsi="Times New Roman" w:cs="Times New Roman"/>
                <w:bCs/>
                <w:sz w:val="20"/>
                <w:szCs w:val="20"/>
                <w:lang w:val="uk-UA"/>
              </w:rPr>
              <w:t>Страхові компанії, всього</w:t>
            </w:r>
          </w:p>
        </w:tc>
        <w:tc>
          <w:tcPr>
            <w:tcW w:w="1134" w:type="dxa"/>
            <w:tcBorders>
              <w:top w:val="nil"/>
              <w:left w:val="nil"/>
              <w:bottom w:val="single" w:sz="8" w:space="0" w:color="auto"/>
              <w:right w:val="nil"/>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382</w:t>
            </w:r>
          </w:p>
        </w:tc>
        <w:tc>
          <w:tcPr>
            <w:tcW w:w="1134"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sz w:val="20"/>
                <w:szCs w:val="20"/>
                <w:lang w:val="uk-UA"/>
              </w:rPr>
            </w:pPr>
            <w:r w:rsidRPr="00974077">
              <w:rPr>
                <w:rFonts w:ascii="Times New Roman" w:hAnsi="Times New Roman" w:cs="Times New Roman"/>
                <w:sz w:val="20"/>
                <w:szCs w:val="20"/>
                <w:lang w:val="uk-UA"/>
              </w:rPr>
              <w:t>361</w:t>
            </w:r>
          </w:p>
        </w:tc>
        <w:tc>
          <w:tcPr>
            <w:tcW w:w="992"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6</w:t>
            </w:r>
          </w:p>
        </w:tc>
        <w:tc>
          <w:tcPr>
            <w:tcW w:w="1276"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57</w:t>
            </w:r>
          </w:p>
        </w:tc>
        <w:tc>
          <w:tcPr>
            <w:tcW w:w="1155" w:type="dxa"/>
            <w:tcBorders>
              <w:top w:val="nil"/>
              <w:left w:val="nil"/>
              <w:bottom w:val="single" w:sz="8" w:space="0" w:color="auto"/>
              <w:right w:val="nil"/>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lang w:val="uk-UA"/>
              </w:rPr>
            </w:pPr>
            <w:r w:rsidRPr="00FD37E3">
              <w:rPr>
                <w:rFonts w:ascii="Times New Roman" w:hAnsi="Times New Roman" w:cs="Times New Roman"/>
                <w:bCs/>
                <w:sz w:val="20"/>
                <w:szCs w:val="20"/>
                <w:lang w:val="uk-UA"/>
              </w:rPr>
              <w:t>310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-51</w:t>
            </w:r>
          </w:p>
        </w:tc>
      </w:tr>
      <w:tr w:rsidR="00FB2F91" w:rsidRPr="003D2029" w:rsidTr="00E632EA">
        <w:trPr>
          <w:trHeight w:val="269"/>
          <w:jc w:val="center"/>
        </w:trPr>
        <w:tc>
          <w:tcPr>
            <w:tcW w:w="2718"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rPr>
                <w:rFonts w:ascii="Times New Roman" w:hAnsi="Times New Roman" w:cs="Times New Roman"/>
                <w:sz w:val="20"/>
                <w:szCs w:val="20"/>
                <w:lang w:val="uk-UA"/>
              </w:rPr>
            </w:pPr>
            <w:r w:rsidRPr="00974077">
              <w:rPr>
                <w:rFonts w:ascii="Times New Roman" w:hAnsi="Times New Roman" w:cs="Times New Roman"/>
                <w:sz w:val="20"/>
                <w:szCs w:val="20"/>
                <w:lang w:val="uk-UA"/>
              </w:rPr>
              <w:t>у тому числі:</w:t>
            </w:r>
          </w:p>
        </w:tc>
        <w:tc>
          <w:tcPr>
            <w:tcW w:w="1134" w:type="dxa"/>
            <w:tcBorders>
              <w:top w:val="nil"/>
              <w:left w:val="nil"/>
              <w:bottom w:val="single" w:sz="8" w:space="0" w:color="auto"/>
              <w:right w:val="nil"/>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 </w:t>
            </w:r>
          </w:p>
        </w:tc>
        <w:tc>
          <w:tcPr>
            <w:tcW w:w="1134"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p>
        </w:tc>
        <w:tc>
          <w:tcPr>
            <w:tcW w:w="992"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p>
        </w:tc>
        <w:tc>
          <w:tcPr>
            <w:tcW w:w="1276"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p>
        </w:tc>
        <w:tc>
          <w:tcPr>
            <w:tcW w:w="1155" w:type="dxa"/>
            <w:tcBorders>
              <w:top w:val="nil"/>
              <w:left w:val="nil"/>
              <w:bottom w:val="single" w:sz="8" w:space="0" w:color="auto"/>
              <w:right w:val="nil"/>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lang w:val="uk-UA"/>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7B6690" w:rsidRPr="003D2029" w:rsidRDefault="007B6690" w:rsidP="00FB2F91">
            <w:pPr>
              <w:ind w:firstLine="0"/>
              <w:rPr>
                <w:rFonts w:ascii="Times New Roman" w:hAnsi="Times New Roman" w:cs="Times New Roman"/>
                <w:sz w:val="20"/>
                <w:szCs w:val="20"/>
              </w:rPr>
            </w:pPr>
          </w:p>
        </w:tc>
      </w:tr>
      <w:tr w:rsidR="00FB2F91" w:rsidRPr="003D2029" w:rsidTr="00E632EA">
        <w:trPr>
          <w:trHeight w:val="409"/>
          <w:jc w:val="center"/>
        </w:trPr>
        <w:tc>
          <w:tcPr>
            <w:tcW w:w="2718"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rPr>
                <w:rFonts w:ascii="Times New Roman" w:hAnsi="Times New Roman" w:cs="Times New Roman"/>
                <w:iCs/>
                <w:sz w:val="20"/>
                <w:szCs w:val="20"/>
                <w:lang w:val="uk-UA"/>
              </w:rPr>
            </w:pPr>
            <w:r w:rsidRPr="00974077">
              <w:rPr>
                <w:rFonts w:ascii="Times New Roman" w:hAnsi="Times New Roman" w:cs="Times New Roman"/>
                <w:iCs/>
                <w:sz w:val="20"/>
                <w:szCs w:val="20"/>
                <w:lang w:val="uk-UA"/>
              </w:rPr>
              <w:t>страхові компанії з ризикових видів страхування</w:t>
            </w:r>
          </w:p>
        </w:tc>
        <w:tc>
          <w:tcPr>
            <w:tcW w:w="1134" w:type="dxa"/>
            <w:tcBorders>
              <w:top w:val="nil"/>
              <w:left w:val="nil"/>
              <w:bottom w:val="single" w:sz="8" w:space="0" w:color="auto"/>
              <w:right w:val="nil"/>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325</w:t>
            </w:r>
          </w:p>
        </w:tc>
        <w:tc>
          <w:tcPr>
            <w:tcW w:w="1134"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312 </w:t>
            </w:r>
          </w:p>
        </w:tc>
        <w:tc>
          <w:tcPr>
            <w:tcW w:w="992"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6</w:t>
            </w:r>
          </w:p>
        </w:tc>
        <w:tc>
          <w:tcPr>
            <w:tcW w:w="1276"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47</w:t>
            </w:r>
          </w:p>
        </w:tc>
        <w:tc>
          <w:tcPr>
            <w:tcW w:w="1155" w:type="dxa"/>
            <w:tcBorders>
              <w:top w:val="nil"/>
              <w:left w:val="nil"/>
              <w:bottom w:val="single" w:sz="8" w:space="0" w:color="auto"/>
              <w:right w:val="nil"/>
            </w:tcBorders>
            <w:shd w:val="clear" w:color="auto" w:fill="auto"/>
            <w:vAlign w:val="bottom"/>
          </w:tcPr>
          <w:p w:rsidR="007B6690" w:rsidRPr="00FD37E3" w:rsidRDefault="007B6690" w:rsidP="00FB2F91">
            <w:pPr>
              <w:ind w:firstLine="0"/>
              <w:jc w:val="center"/>
              <w:rPr>
                <w:rFonts w:ascii="Times New Roman" w:hAnsi="Times New Roman" w:cs="Times New Roman"/>
                <w:iCs/>
                <w:sz w:val="20"/>
                <w:szCs w:val="20"/>
                <w:lang w:val="uk-UA"/>
              </w:rPr>
            </w:pPr>
            <w:r w:rsidRPr="00FD37E3">
              <w:rPr>
                <w:rFonts w:ascii="Times New Roman" w:hAnsi="Times New Roman" w:cs="Times New Roman"/>
                <w:iCs/>
                <w:sz w:val="20"/>
                <w:szCs w:val="20"/>
                <w:lang w:val="uk-UA"/>
              </w:rPr>
              <w:t>271</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sz w:val="20"/>
                <w:szCs w:val="20"/>
              </w:rPr>
            </w:pPr>
            <w:r w:rsidRPr="003D2029">
              <w:rPr>
                <w:rFonts w:ascii="Times New Roman" w:hAnsi="Times New Roman" w:cs="Times New Roman"/>
                <w:sz w:val="20"/>
                <w:szCs w:val="20"/>
              </w:rPr>
              <w:t>-41</w:t>
            </w:r>
          </w:p>
        </w:tc>
      </w:tr>
      <w:tr w:rsidR="00FB2F91" w:rsidRPr="003D2029" w:rsidTr="00E632EA">
        <w:trPr>
          <w:trHeight w:val="339"/>
          <w:jc w:val="center"/>
        </w:trPr>
        <w:tc>
          <w:tcPr>
            <w:tcW w:w="2718"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rPr>
                <w:rFonts w:ascii="Times New Roman" w:hAnsi="Times New Roman" w:cs="Times New Roman"/>
                <w:iCs/>
                <w:sz w:val="20"/>
                <w:szCs w:val="20"/>
                <w:lang w:val="uk-UA"/>
              </w:rPr>
            </w:pPr>
            <w:r w:rsidRPr="00974077">
              <w:rPr>
                <w:rFonts w:ascii="Times New Roman" w:hAnsi="Times New Roman" w:cs="Times New Roman"/>
                <w:iCs/>
                <w:sz w:val="20"/>
                <w:szCs w:val="20"/>
                <w:lang w:val="uk-UA"/>
              </w:rPr>
              <w:t>страхові компанії зі страхування життя</w:t>
            </w:r>
          </w:p>
        </w:tc>
        <w:tc>
          <w:tcPr>
            <w:tcW w:w="1134" w:type="dxa"/>
            <w:tcBorders>
              <w:top w:val="nil"/>
              <w:left w:val="nil"/>
              <w:bottom w:val="single" w:sz="8" w:space="0" w:color="auto"/>
              <w:right w:val="nil"/>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57</w:t>
            </w:r>
          </w:p>
        </w:tc>
        <w:tc>
          <w:tcPr>
            <w:tcW w:w="1134"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49</w:t>
            </w:r>
          </w:p>
        </w:tc>
        <w:tc>
          <w:tcPr>
            <w:tcW w:w="992"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0</w:t>
            </w:r>
          </w:p>
        </w:tc>
        <w:tc>
          <w:tcPr>
            <w:tcW w:w="1276"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10</w:t>
            </w:r>
          </w:p>
        </w:tc>
        <w:tc>
          <w:tcPr>
            <w:tcW w:w="1155" w:type="dxa"/>
            <w:tcBorders>
              <w:top w:val="nil"/>
              <w:left w:val="nil"/>
              <w:bottom w:val="single" w:sz="8" w:space="0" w:color="auto"/>
              <w:right w:val="nil"/>
            </w:tcBorders>
            <w:shd w:val="clear" w:color="auto" w:fill="auto"/>
            <w:vAlign w:val="bottom"/>
          </w:tcPr>
          <w:p w:rsidR="007B6690" w:rsidRPr="00FD37E3" w:rsidRDefault="007B6690" w:rsidP="00FB2F91">
            <w:pPr>
              <w:ind w:firstLine="0"/>
              <w:jc w:val="center"/>
              <w:rPr>
                <w:rFonts w:ascii="Times New Roman" w:hAnsi="Times New Roman" w:cs="Times New Roman"/>
                <w:iCs/>
                <w:sz w:val="20"/>
                <w:szCs w:val="20"/>
                <w:lang w:val="uk-UA"/>
              </w:rPr>
            </w:pPr>
            <w:r w:rsidRPr="00FD37E3">
              <w:rPr>
                <w:rFonts w:ascii="Times New Roman" w:hAnsi="Times New Roman" w:cs="Times New Roman"/>
                <w:iCs/>
                <w:sz w:val="20"/>
                <w:szCs w:val="20"/>
                <w:lang w:val="uk-UA"/>
              </w:rPr>
              <w:t>39</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sz w:val="20"/>
                <w:szCs w:val="20"/>
              </w:rPr>
            </w:pPr>
            <w:r w:rsidRPr="003D2029">
              <w:rPr>
                <w:rFonts w:ascii="Times New Roman" w:hAnsi="Times New Roman" w:cs="Times New Roman"/>
                <w:sz w:val="20"/>
                <w:szCs w:val="20"/>
              </w:rPr>
              <w:t>-10</w:t>
            </w:r>
          </w:p>
        </w:tc>
      </w:tr>
      <w:tr w:rsidR="00FB2F91" w:rsidRPr="003D2029" w:rsidTr="00E632EA">
        <w:trPr>
          <w:trHeight w:val="153"/>
          <w:jc w:val="center"/>
        </w:trPr>
        <w:tc>
          <w:tcPr>
            <w:tcW w:w="2718"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rPr>
                <w:rFonts w:ascii="Times New Roman" w:hAnsi="Times New Roman" w:cs="Times New Roman"/>
                <w:bCs/>
                <w:sz w:val="20"/>
                <w:szCs w:val="20"/>
                <w:lang w:val="uk-UA"/>
              </w:rPr>
            </w:pPr>
            <w:r w:rsidRPr="00974077">
              <w:rPr>
                <w:rFonts w:ascii="Times New Roman" w:hAnsi="Times New Roman" w:cs="Times New Roman"/>
                <w:bCs/>
                <w:sz w:val="20"/>
                <w:szCs w:val="20"/>
                <w:lang w:val="uk-UA"/>
              </w:rPr>
              <w:t>Кредитні установи, всього</w:t>
            </w:r>
          </w:p>
        </w:tc>
        <w:tc>
          <w:tcPr>
            <w:tcW w:w="1134" w:type="dxa"/>
            <w:tcBorders>
              <w:top w:val="nil"/>
              <w:left w:val="nil"/>
              <w:bottom w:val="single" w:sz="8" w:space="0" w:color="auto"/>
              <w:right w:val="nil"/>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711</w:t>
            </w:r>
          </w:p>
        </w:tc>
        <w:tc>
          <w:tcPr>
            <w:tcW w:w="1134" w:type="dxa"/>
            <w:tcBorders>
              <w:top w:val="nil"/>
              <w:left w:val="single" w:sz="8" w:space="0" w:color="auto"/>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iCs/>
                <w:sz w:val="20"/>
                <w:szCs w:val="20"/>
                <w:lang w:val="uk-UA"/>
              </w:rPr>
            </w:pPr>
            <w:r w:rsidRPr="00974077">
              <w:rPr>
                <w:rFonts w:ascii="Times New Roman" w:hAnsi="Times New Roman" w:cs="Times New Roman"/>
                <w:iCs/>
                <w:sz w:val="20"/>
                <w:szCs w:val="20"/>
                <w:lang w:val="uk-UA"/>
              </w:rPr>
              <w:t>728</w:t>
            </w:r>
          </w:p>
        </w:tc>
        <w:tc>
          <w:tcPr>
            <w:tcW w:w="992"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43</w:t>
            </w:r>
          </w:p>
        </w:tc>
        <w:tc>
          <w:tcPr>
            <w:tcW w:w="1276" w:type="dxa"/>
            <w:tcBorders>
              <w:top w:val="nil"/>
              <w:left w:val="nil"/>
              <w:bottom w:val="single" w:sz="8" w:space="0" w:color="auto"/>
              <w:right w:val="single" w:sz="8"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150</w:t>
            </w:r>
          </w:p>
        </w:tc>
        <w:tc>
          <w:tcPr>
            <w:tcW w:w="1155" w:type="dxa"/>
            <w:tcBorders>
              <w:top w:val="nil"/>
              <w:left w:val="nil"/>
              <w:bottom w:val="single" w:sz="8" w:space="0" w:color="auto"/>
              <w:right w:val="nil"/>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lang w:val="uk-UA"/>
              </w:rPr>
            </w:pPr>
            <w:r w:rsidRPr="00FD37E3">
              <w:rPr>
                <w:rFonts w:ascii="Times New Roman" w:hAnsi="Times New Roman" w:cs="Times New Roman"/>
                <w:bCs/>
                <w:sz w:val="20"/>
                <w:szCs w:val="20"/>
                <w:lang w:val="uk-UA"/>
              </w:rPr>
              <w:t>621</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-107</w:t>
            </w:r>
          </w:p>
        </w:tc>
      </w:tr>
      <w:tr w:rsidR="00FB2F91" w:rsidRPr="003D2029" w:rsidTr="00E632EA">
        <w:trPr>
          <w:trHeight w:val="185"/>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rPr>
                <w:rFonts w:ascii="Times New Roman" w:hAnsi="Times New Roman" w:cs="Times New Roman"/>
                <w:bCs/>
                <w:sz w:val="20"/>
                <w:szCs w:val="20"/>
                <w:lang w:val="uk-UA"/>
              </w:rPr>
            </w:pPr>
            <w:r w:rsidRPr="00974077">
              <w:rPr>
                <w:rFonts w:ascii="Times New Roman" w:hAnsi="Times New Roman" w:cs="Times New Roman"/>
                <w:bCs/>
                <w:sz w:val="20"/>
                <w:szCs w:val="20"/>
                <w:lang w:val="uk-UA"/>
              </w:rPr>
              <w:t>Ломбарди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482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56</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lang w:val="uk-UA"/>
              </w:rPr>
            </w:pPr>
            <w:r w:rsidRPr="00FD37E3">
              <w:rPr>
                <w:rFonts w:ascii="Times New Roman" w:hAnsi="Times New Roman" w:cs="Times New Roman"/>
                <w:bCs/>
                <w:sz w:val="20"/>
                <w:szCs w:val="20"/>
                <w:lang w:val="uk-UA"/>
              </w:rPr>
              <w:t>456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AD6E5E" w:rsidRDefault="007B6690" w:rsidP="00FB2F91">
            <w:pPr>
              <w:ind w:firstLine="0"/>
              <w:jc w:val="center"/>
              <w:rPr>
                <w:rFonts w:ascii="Times New Roman" w:hAnsi="Times New Roman" w:cs="Times New Roman"/>
                <w:bCs/>
                <w:sz w:val="20"/>
                <w:szCs w:val="20"/>
                <w:lang w:val="uk-UA"/>
              </w:rPr>
            </w:pPr>
            <w:r>
              <w:rPr>
                <w:rFonts w:ascii="Times New Roman" w:hAnsi="Times New Roman" w:cs="Times New Roman"/>
                <w:bCs/>
                <w:sz w:val="20"/>
                <w:szCs w:val="20"/>
                <w:lang w:val="uk-UA"/>
              </w:rPr>
              <w:t>-26</w:t>
            </w:r>
          </w:p>
        </w:tc>
      </w:tr>
      <w:tr w:rsidR="00FD37E3" w:rsidRPr="003D2029" w:rsidTr="00E632EA">
        <w:trPr>
          <w:trHeight w:val="263"/>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rPr>
                <w:rFonts w:ascii="Times New Roman" w:hAnsi="Times New Roman" w:cs="Times New Roman"/>
                <w:bCs/>
                <w:sz w:val="20"/>
                <w:szCs w:val="20"/>
                <w:lang w:val="uk-UA"/>
              </w:rPr>
            </w:pPr>
            <w:r w:rsidRPr="00974077">
              <w:rPr>
                <w:rFonts w:ascii="Times New Roman" w:hAnsi="Times New Roman" w:cs="Times New Roman"/>
                <w:bCs/>
                <w:sz w:val="20"/>
                <w:szCs w:val="20"/>
                <w:lang w:val="uk-UA"/>
              </w:rPr>
              <w:t>Фінансові компанії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571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974077" w:rsidRDefault="007B6690" w:rsidP="00FB2F91">
            <w:pPr>
              <w:ind w:firstLine="0"/>
              <w:jc w:val="center"/>
              <w:rPr>
                <w:rFonts w:ascii="Times New Roman" w:hAnsi="Times New Roman" w:cs="Times New Roman"/>
                <w:bCs/>
                <w:sz w:val="20"/>
                <w:szCs w:val="20"/>
                <w:lang w:val="uk-UA"/>
              </w:rPr>
            </w:pPr>
            <w:r w:rsidRPr="00974077">
              <w:rPr>
                <w:rFonts w:ascii="Times New Roman" w:hAnsi="Times New Roman" w:cs="Times New Roman"/>
                <w:bCs/>
                <w:sz w:val="20"/>
                <w:szCs w:val="20"/>
                <w:lang w:val="uk-UA"/>
              </w:rPr>
              <w:t>87</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lang w:val="uk-UA"/>
              </w:rPr>
            </w:pPr>
            <w:r w:rsidRPr="00FD37E3">
              <w:rPr>
                <w:rFonts w:ascii="Times New Roman" w:hAnsi="Times New Roman" w:cs="Times New Roman"/>
                <w:bCs/>
                <w:sz w:val="20"/>
                <w:szCs w:val="20"/>
                <w:lang w:val="uk-UA"/>
              </w:rPr>
              <w:t>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79</w:t>
            </w:r>
          </w:p>
        </w:tc>
      </w:tr>
      <w:tr w:rsidR="00FB2F91" w:rsidRPr="003D2029" w:rsidTr="00E632EA">
        <w:trPr>
          <w:trHeight w:val="139"/>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B2F91" w:rsidRDefault="007B6690" w:rsidP="00FB2F91">
            <w:pPr>
              <w:ind w:firstLine="0"/>
              <w:rPr>
                <w:rFonts w:ascii="Times New Roman" w:hAnsi="Times New Roman" w:cs="Times New Roman"/>
                <w:bCs/>
                <w:sz w:val="20"/>
                <w:szCs w:val="20"/>
                <w:lang w:val="uk-UA"/>
              </w:rPr>
            </w:pPr>
            <w:r w:rsidRPr="00FB2F91">
              <w:rPr>
                <w:rFonts w:ascii="Times New Roman" w:hAnsi="Times New Roman" w:cs="Times New Roman"/>
                <w:bCs/>
                <w:sz w:val="20"/>
                <w:szCs w:val="20"/>
                <w:lang w:val="uk-UA"/>
              </w:rPr>
              <w:t>Довірчі товариства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rPr>
            </w:pPr>
            <w:r w:rsidRPr="00FD37E3">
              <w:rPr>
                <w:rFonts w:ascii="Times New Roman"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0</w:t>
            </w:r>
          </w:p>
        </w:tc>
      </w:tr>
      <w:tr w:rsidR="00FB2F91" w:rsidRPr="003D2029" w:rsidTr="00E632EA">
        <w:trPr>
          <w:trHeight w:val="277"/>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B2F91" w:rsidRDefault="007B6690" w:rsidP="00FB2F91">
            <w:pPr>
              <w:ind w:firstLine="0"/>
              <w:rPr>
                <w:rFonts w:ascii="Times New Roman" w:hAnsi="Times New Roman" w:cs="Times New Roman"/>
                <w:bCs/>
                <w:sz w:val="20"/>
                <w:szCs w:val="20"/>
                <w:lang w:val="uk-UA"/>
              </w:rPr>
            </w:pPr>
            <w:r w:rsidRPr="00FB2F91">
              <w:rPr>
                <w:rFonts w:ascii="Times New Roman" w:hAnsi="Times New Roman" w:cs="Times New Roman"/>
                <w:bCs/>
                <w:sz w:val="20"/>
                <w:szCs w:val="20"/>
                <w:lang w:val="uk-UA"/>
              </w:rPr>
              <w:t>Недержавні пенсійні фонди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rPr>
            </w:pPr>
            <w:r w:rsidRPr="00FD37E3">
              <w:rPr>
                <w:rFonts w:ascii="Times New Roman" w:hAnsi="Times New Roman" w:cs="Times New Roman"/>
                <w:bCs/>
                <w:sz w:val="20"/>
                <w:szCs w:val="20"/>
              </w:rPr>
              <w:t>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-8</w:t>
            </w:r>
          </w:p>
        </w:tc>
      </w:tr>
      <w:tr w:rsidR="00FB2F91" w:rsidRPr="003D2029" w:rsidTr="00E632EA">
        <w:trPr>
          <w:trHeight w:val="149"/>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B2F91" w:rsidRDefault="007B6690" w:rsidP="00FB2F91">
            <w:pPr>
              <w:ind w:firstLine="0"/>
              <w:rPr>
                <w:rFonts w:ascii="Times New Roman" w:hAnsi="Times New Roman" w:cs="Times New Roman"/>
                <w:bCs/>
                <w:sz w:val="20"/>
                <w:szCs w:val="20"/>
                <w:lang w:val="uk-UA"/>
              </w:rPr>
            </w:pPr>
            <w:r w:rsidRPr="00FB2F91">
              <w:rPr>
                <w:rFonts w:ascii="Times New Roman" w:hAnsi="Times New Roman" w:cs="Times New Roman"/>
                <w:bCs/>
                <w:sz w:val="20"/>
                <w:szCs w:val="20"/>
                <w:lang w:val="uk-UA"/>
              </w:rPr>
              <w:t>Адміністратори НПФ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rPr>
            </w:pPr>
            <w:r w:rsidRPr="00FD37E3">
              <w:rPr>
                <w:rFonts w:ascii="Times New Roman" w:hAnsi="Times New Roman" w:cs="Times New Roman"/>
                <w:bCs/>
                <w:sz w:val="20"/>
                <w:szCs w:val="20"/>
              </w:rPr>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-1</w:t>
            </w:r>
          </w:p>
        </w:tc>
      </w:tr>
      <w:tr w:rsidR="00FB2F91" w:rsidRPr="003D2029" w:rsidTr="00E632EA">
        <w:trPr>
          <w:trHeight w:val="330"/>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B2F91" w:rsidRDefault="007B6690" w:rsidP="00FB2F91">
            <w:pPr>
              <w:ind w:firstLine="0"/>
              <w:jc w:val="center"/>
              <w:rPr>
                <w:rFonts w:ascii="Times New Roman" w:hAnsi="Times New Roman" w:cs="Times New Roman"/>
                <w:bCs/>
                <w:sz w:val="20"/>
                <w:szCs w:val="20"/>
                <w:lang w:val="uk-UA"/>
              </w:rPr>
            </w:pPr>
            <w:r w:rsidRPr="00FB2F91">
              <w:rPr>
                <w:rFonts w:ascii="Times New Roman" w:hAnsi="Times New Roman" w:cs="Times New Roman"/>
                <w:bCs/>
                <w:sz w:val="20"/>
                <w:szCs w:val="20"/>
                <w:lang w:val="uk-UA"/>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lang w:val="en-US"/>
              </w:rPr>
              <w:t>2 087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sz w:val="20"/>
                <w:szCs w:val="20"/>
              </w:rPr>
            </w:pPr>
            <w:r w:rsidRPr="003D2029">
              <w:rPr>
                <w:rFonts w:ascii="Times New Roman" w:hAnsi="Times New Roman" w:cs="Times New Roman"/>
                <w:sz w:val="20"/>
                <w:szCs w:val="20"/>
              </w:rPr>
              <w:t>2 239</w:t>
            </w:r>
            <w:r w:rsidRPr="003D2029">
              <w:rPr>
                <w:rFonts w:ascii="Times New Roman" w:hAnsi="Times New Roman" w:cs="Times New Roman"/>
                <w:sz w:val="20"/>
                <w:szCs w:val="20"/>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359</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B6690" w:rsidRPr="00FD37E3" w:rsidRDefault="007B6690" w:rsidP="00FB2F91">
            <w:pPr>
              <w:ind w:firstLine="0"/>
              <w:jc w:val="center"/>
              <w:rPr>
                <w:rFonts w:ascii="Times New Roman" w:hAnsi="Times New Roman" w:cs="Times New Roman"/>
                <w:bCs/>
                <w:sz w:val="20"/>
                <w:szCs w:val="20"/>
              </w:rPr>
            </w:pPr>
            <w:r w:rsidRPr="00FD37E3">
              <w:rPr>
                <w:rFonts w:ascii="Times New Roman" w:hAnsi="Times New Roman" w:cs="Times New Roman"/>
                <w:bCs/>
                <w:sz w:val="20"/>
                <w:szCs w:val="20"/>
              </w:rPr>
              <w:t>2 125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690" w:rsidRPr="003D2029" w:rsidRDefault="007B6690" w:rsidP="00FB2F91">
            <w:pPr>
              <w:ind w:firstLine="0"/>
              <w:jc w:val="center"/>
              <w:rPr>
                <w:rFonts w:ascii="Times New Roman" w:hAnsi="Times New Roman" w:cs="Times New Roman"/>
                <w:bCs/>
                <w:sz w:val="20"/>
                <w:szCs w:val="20"/>
              </w:rPr>
            </w:pPr>
            <w:r w:rsidRPr="003D2029">
              <w:rPr>
                <w:rFonts w:ascii="Times New Roman" w:hAnsi="Times New Roman" w:cs="Times New Roman"/>
                <w:bCs/>
                <w:sz w:val="20"/>
                <w:szCs w:val="20"/>
              </w:rPr>
              <w:t>-114</w:t>
            </w:r>
          </w:p>
        </w:tc>
      </w:tr>
    </w:tbl>
    <w:p w:rsidR="00974077" w:rsidRPr="003D2029" w:rsidRDefault="00974077" w:rsidP="00974077">
      <w:pPr>
        <w:ind w:firstLine="709"/>
        <w:rPr>
          <w:rFonts w:ascii="Times New Roman" w:hAnsi="Times New Roman" w:cs="Times New Roman"/>
          <w:sz w:val="24"/>
          <w:lang w:val="uk-UA"/>
        </w:rPr>
      </w:pPr>
      <w:r w:rsidRPr="003D2029">
        <w:rPr>
          <w:rFonts w:ascii="Times New Roman" w:hAnsi="Times New Roman" w:cs="Times New Roman"/>
          <w:sz w:val="24"/>
          <w:lang w:val="uk-UA"/>
        </w:rPr>
        <w:t>Джерело: [</w:t>
      </w:r>
      <w:r w:rsidR="002D71C2">
        <w:rPr>
          <w:rFonts w:ascii="Times New Roman" w:hAnsi="Times New Roman" w:cs="Times New Roman"/>
          <w:sz w:val="24"/>
          <w:lang w:val="uk-UA"/>
        </w:rPr>
        <w:t>1</w:t>
      </w:r>
      <w:r w:rsidRPr="003D2029">
        <w:rPr>
          <w:rFonts w:ascii="Times New Roman" w:hAnsi="Times New Roman" w:cs="Times New Roman"/>
          <w:sz w:val="24"/>
          <w:lang w:val="uk-UA"/>
        </w:rPr>
        <w:t>, с.28]</w:t>
      </w:r>
    </w:p>
    <w:p w:rsidR="00F058D5" w:rsidRPr="00FB2F91" w:rsidRDefault="00B84A04" w:rsidP="00FB2F91">
      <w:pPr>
        <w:pStyle w:val="a3"/>
        <w:ind w:left="0" w:firstLine="709"/>
        <w:jc w:val="both"/>
        <w:rPr>
          <w:rFonts w:ascii="Times New Roman" w:hAnsi="Times New Roman" w:cs="Times New Roman"/>
          <w:sz w:val="24"/>
          <w:szCs w:val="24"/>
          <w:lang w:val="uk-UA"/>
        </w:rPr>
      </w:pPr>
      <w:r w:rsidRPr="00FB2F91">
        <w:rPr>
          <w:rFonts w:ascii="Times New Roman" w:hAnsi="Times New Roman" w:cs="Times New Roman"/>
          <w:sz w:val="24"/>
          <w:szCs w:val="24"/>
          <w:lang w:val="uk-UA"/>
        </w:rPr>
        <w:lastRenderedPageBreak/>
        <w:t>Позитивну динаміку зареєстрованих відокремлених підрозділів фінансових установ у 2016 році демонструють ломбарди (+ 429 структурних підрозділів), фінансові компанії (+324 підрозділи), інші кредитні установи (+ 310 відокремлених підрозділів). (рис.1)</w:t>
      </w:r>
      <w:r w:rsidR="00FB2F91">
        <w:rPr>
          <w:rFonts w:ascii="Times New Roman" w:hAnsi="Times New Roman" w:cs="Times New Roman"/>
          <w:sz w:val="24"/>
          <w:szCs w:val="24"/>
          <w:lang w:val="uk-UA"/>
        </w:rPr>
        <w:t>.</w:t>
      </w:r>
    </w:p>
    <w:p w:rsidR="00B84A04" w:rsidRPr="003D2029" w:rsidRDefault="00B84A04" w:rsidP="00444E63">
      <w:pPr>
        <w:pStyle w:val="a3"/>
        <w:ind w:left="0" w:firstLine="709"/>
        <w:jc w:val="both"/>
        <w:rPr>
          <w:rFonts w:ascii="Times New Roman" w:hAnsi="Times New Roman" w:cs="Times New Roman"/>
          <w:sz w:val="28"/>
          <w:szCs w:val="28"/>
          <w:lang w:val="uk-UA"/>
        </w:rPr>
      </w:pPr>
    </w:p>
    <w:p w:rsidR="00BA43AD" w:rsidRPr="003D2029" w:rsidRDefault="00F058D5" w:rsidP="00444E63">
      <w:pPr>
        <w:pStyle w:val="a3"/>
        <w:ind w:left="0" w:firstLine="709"/>
        <w:jc w:val="center"/>
        <w:rPr>
          <w:rFonts w:ascii="Times New Roman" w:hAnsi="Times New Roman" w:cs="Times New Roman"/>
          <w:sz w:val="24"/>
          <w:szCs w:val="24"/>
          <w:lang w:val="uk-UA"/>
        </w:rPr>
      </w:pPr>
      <w:r w:rsidRPr="003D2029">
        <w:rPr>
          <w:rFonts w:ascii="Times New Roman" w:hAnsi="Times New Roman" w:cs="Times New Roman"/>
          <w:noProof/>
          <w:sz w:val="28"/>
          <w:szCs w:val="28"/>
          <w:lang w:eastAsia="ru-RU"/>
        </w:rPr>
        <w:drawing>
          <wp:inline distT="0" distB="0" distL="0" distR="0">
            <wp:extent cx="4610100" cy="27619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17637" cy="2766501"/>
                    </a:xfrm>
                    <a:prstGeom prst="rect">
                      <a:avLst/>
                    </a:prstGeom>
                    <a:noFill/>
                    <a:ln w="9525">
                      <a:noFill/>
                      <a:miter lim="800000"/>
                      <a:headEnd/>
                      <a:tailEnd/>
                    </a:ln>
                  </pic:spPr>
                </pic:pic>
              </a:graphicData>
            </a:graphic>
          </wp:inline>
        </w:drawing>
      </w:r>
    </w:p>
    <w:p w:rsidR="00FB2F91" w:rsidRDefault="00FB2F91" w:rsidP="00444E63">
      <w:pPr>
        <w:ind w:firstLine="709"/>
        <w:jc w:val="center"/>
        <w:rPr>
          <w:rFonts w:ascii="Times New Roman" w:hAnsi="Times New Roman" w:cs="Times New Roman"/>
          <w:sz w:val="28"/>
          <w:szCs w:val="28"/>
        </w:rPr>
      </w:pPr>
    </w:p>
    <w:p w:rsidR="00B84A04" w:rsidRPr="00FB2F91" w:rsidRDefault="00B84A04" w:rsidP="00444E63">
      <w:pPr>
        <w:ind w:firstLine="709"/>
        <w:jc w:val="center"/>
        <w:rPr>
          <w:rFonts w:ascii="Times New Roman" w:hAnsi="Times New Roman" w:cs="Times New Roman"/>
          <w:sz w:val="24"/>
          <w:szCs w:val="24"/>
          <w:lang w:val="uk-UA"/>
        </w:rPr>
      </w:pPr>
      <w:r w:rsidRPr="00FB2F91">
        <w:rPr>
          <w:rFonts w:ascii="Times New Roman" w:hAnsi="Times New Roman" w:cs="Times New Roman"/>
          <w:sz w:val="24"/>
          <w:szCs w:val="24"/>
          <w:lang w:val="uk-UA"/>
        </w:rPr>
        <w:t>Рис. 1 Динаміка кількості фінансових установ за 2014 – 2016 роки</w:t>
      </w:r>
    </w:p>
    <w:p w:rsidR="00B84A04" w:rsidRPr="00FB2F91" w:rsidRDefault="00B84A04" w:rsidP="00444E63">
      <w:pPr>
        <w:pStyle w:val="a3"/>
        <w:ind w:left="0" w:firstLine="709"/>
        <w:jc w:val="both"/>
        <w:rPr>
          <w:rFonts w:ascii="Times New Roman" w:hAnsi="Times New Roman" w:cs="Times New Roman"/>
          <w:sz w:val="24"/>
          <w:szCs w:val="24"/>
          <w:lang w:val="uk-UA"/>
        </w:rPr>
      </w:pPr>
    </w:p>
    <w:p w:rsidR="00485664" w:rsidRPr="00FB2F91" w:rsidRDefault="00B84A04" w:rsidP="00444E63">
      <w:pPr>
        <w:pStyle w:val="a3"/>
        <w:ind w:left="0" w:firstLine="709"/>
        <w:jc w:val="both"/>
        <w:rPr>
          <w:rFonts w:ascii="Times New Roman" w:hAnsi="Times New Roman" w:cs="Times New Roman"/>
          <w:sz w:val="24"/>
          <w:szCs w:val="24"/>
          <w:lang w:val="uk-UA"/>
        </w:rPr>
      </w:pPr>
      <w:r w:rsidRPr="00FB2F91">
        <w:rPr>
          <w:rFonts w:ascii="Times New Roman" w:hAnsi="Times New Roman" w:cs="Times New Roman"/>
          <w:sz w:val="24"/>
          <w:szCs w:val="24"/>
          <w:lang w:val="uk-UA"/>
        </w:rPr>
        <w:t>Це пояснюється їх спрямованістю на наближення до безпосереднього споживача фінансових послуг та прагненням до створення сучасної інфраструктури шляхом подальшого розгалуження мережі відокремлених підрозділів.</w:t>
      </w:r>
    </w:p>
    <w:p w:rsidR="00960F2B" w:rsidRPr="00FB2F91" w:rsidRDefault="004C736E" w:rsidP="00444E63">
      <w:pPr>
        <w:ind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Система небанківських фінансових інституцій в Україні на сьогодні характеризується низькою капіталізацією, що обумовлено нестабільністю умов ведення бізнесу, незахищеністю права власності та низьким рівнем корпоративного управління</w:t>
      </w:r>
    </w:p>
    <w:p w:rsidR="00960F2B" w:rsidRPr="00FB2F91" w:rsidRDefault="00960F2B" w:rsidP="00444E63">
      <w:pPr>
        <w:ind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Розвиток ринку фінансових послуг</w:t>
      </w:r>
      <w:r w:rsidR="00444E63" w:rsidRPr="00FB2F91">
        <w:rPr>
          <w:rFonts w:ascii="Times New Roman" w:hAnsi="Times New Roman" w:cs="Times New Roman"/>
          <w:noProof/>
          <w:sz w:val="24"/>
          <w:szCs w:val="24"/>
          <w:lang w:val="uk-UA" w:eastAsia="ru-RU"/>
        </w:rPr>
        <w:t xml:space="preserve"> в Україні </w:t>
      </w:r>
      <w:r w:rsidRPr="00FB2F91">
        <w:rPr>
          <w:rFonts w:ascii="Times New Roman" w:hAnsi="Times New Roman" w:cs="Times New Roman"/>
          <w:noProof/>
          <w:sz w:val="24"/>
          <w:szCs w:val="24"/>
          <w:lang w:val="uk-UA" w:eastAsia="ru-RU"/>
        </w:rPr>
        <w:t>стримують такі чинники, як:</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існування на ринку фінансових установ, які не виконують та не мають на меті виконувати функції фінансового посередництва і створюють суттєві системні ризики для фінансового сектору; </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недостатній рівень або ж повна відсутність гарантій прав захисту інтересів споживачів фінансових послуг (інвесторів); </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низький рівень стандартів управління платоспроможністю та ліквідністю парабанків;</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низька ефективність нагляду за небанківськими фінаново-кредитними установами , що не дає можливість вчасно упередити розвиток ризиків; </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відсутність належної інфраструктури ринку капіталу (фондового ринку); обмежена кількість фінансових інструментів, в тому числі, інструментів хеджування ризиків; </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неефективне податкове законодавство (приміром, потрійне оподаткування інвестиційних доходів учасників ринку спільного інвестування); </w:t>
      </w:r>
    </w:p>
    <w:p w:rsidR="00960F2B" w:rsidRPr="00FB2F91" w:rsidRDefault="00960F2B" w:rsidP="00444E63">
      <w:pPr>
        <w:pStyle w:val="a3"/>
        <w:numPr>
          <w:ilvl w:val="0"/>
          <w:numId w:val="6"/>
        </w:numPr>
        <w:ind w:left="0"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низька фінансова грамотність населення</w:t>
      </w:r>
      <w:r w:rsidR="002D71C2">
        <w:rPr>
          <w:rFonts w:ascii="Times New Roman" w:hAnsi="Times New Roman" w:cs="Times New Roman"/>
          <w:noProof/>
          <w:sz w:val="24"/>
          <w:szCs w:val="24"/>
          <w:lang w:val="uk-UA" w:eastAsia="ru-RU"/>
        </w:rPr>
        <w:t xml:space="preserve"> </w:t>
      </w:r>
      <w:r w:rsidR="002D71C2" w:rsidRPr="003D2029">
        <w:rPr>
          <w:rFonts w:ascii="Times New Roman" w:hAnsi="Times New Roman" w:cs="Times New Roman"/>
          <w:sz w:val="24"/>
          <w:lang w:val="uk-UA"/>
        </w:rPr>
        <w:t>[</w:t>
      </w:r>
      <w:r w:rsidR="002D71C2">
        <w:rPr>
          <w:rFonts w:ascii="Times New Roman" w:hAnsi="Times New Roman" w:cs="Times New Roman"/>
          <w:sz w:val="24"/>
          <w:lang w:val="uk-UA"/>
        </w:rPr>
        <w:t>2</w:t>
      </w:r>
      <w:r w:rsidR="002D71C2" w:rsidRPr="003D2029">
        <w:rPr>
          <w:rFonts w:ascii="Times New Roman" w:hAnsi="Times New Roman" w:cs="Times New Roman"/>
          <w:sz w:val="24"/>
          <w:lang w:val="uk-UA"/>
        </w:rPr>
        <w:t>]</w:t>
      </w:r>
      <w:r w:rsidRPr="00FB2F91">
        <w:rPr>
          <w:rFonts w:ascii="Times New Roman" w:hAnsi="Times New Roman" w:cs="Times New Roman"/>
          <w:noProof/>
          <w:sz w:val="24"/>
          <w:szCs w:val="24"/>
          <w:lang w:val="uk-UA" w:eastAsia="ru-RU"/>
        </w:rPr>
        <w:t>.</w:t>
      </w:r>
    </w:p>
    <w:p w:rsidR="00960F2B" w:rsidRPr="00FB2F91" w:rsidRDefault="00960F2B" w:rsidP="00444E63">
      <w:pPr>
        <w:ind w:firstLine="709"/>
        <w:jc w:val="both"/>
        <w:rPr>
          <w:rFonts w:ascii="Times New Roman" w:hAnsi="Times New Roman" w:cs="Times New Roman"/>
          <w:noProof/>
          <w:sz w:val="24"/>
          <w:szCs w:val="24"/>
          <w:lang w:val="uk-UA" w:eastAsia="ru-RU"/>
        </w:rPr>
      </w:pPr>
      <w:r w:rsidRPr="00FB2F91">
        <w:rPr>
          <w:rFonts w:ascii="Times New Roman" w:hAnsi="Times New Roman" w:cs="Times New Roman"/>
          <w:noProof/>
          <w:sz w:val="24"/>
          <w:szCs w:val="24"/>
          <w:lang w:val="uk-UA" w:eastAsia="ru-RU"/>
        </w:rPr>
        <w:t xml:space="preserve">Все це призвело до поглиблення кризи </w:t>
      </w:r>
      <w:r w:rsidR="00444E63" w:rsidRPr="00FB2F91">
        <w:rPr>
          <w:rFonts w:ascii="Times New Roman" w:hAnsi="Times New Roman" w:cs="Times New Roman"/>
          <w:noProof/>
          <w:sz w:val="24"/>
          <w:szCs w:val="24"/>
          <w:lang w:val="uk-UA" w:eastAsia="ru-RU"/>
        </w:rPr>
        <w:t xml:space="preserve">та </w:t>
      </w:r>
      <w:r w:rsidRPr="00FB2F91">
        <w:rPr>
          <w:rFonts w:ascii="Times New Roman" w:hAnsi="Times New Roman" w:cs="Times New Roman"/>
          <w:noProof/>
          <w:sz w:val="24"/>
          <w:szCs w:val="24"/>
          <w:lang w:val="uk-UA" w:eastAsia="ru-RU"/>
        </w:rPr>
        <w:t>недо</w:t>
      </w:r>
      <w:r w:rsidR="00444E63" w:rsidRPr="00FB2F91">
        <w:rPr>
          <w:rFonts w:ascii="Times New Roman" w:hAnsi="Times New Roman" w:cs="Times New Roman"/>
          <w:noProof/>
          <w:sz w:val="24"/>
          <w:szCs w:val="24"/>
          <w:lang w:val="uk-UA" w:eastAsia="ru-RU"/>
        </w:rPr>
        <w:t>віри до ринку фінансових послуг.</w:t>
      </w:r>
    </w:p>
    <w:p w:rsidR="004C736E" w:rsidRPr="00FB2F91" w:rsidRDefault="005B127B" w:rsidP="00444E63">
      <w:pPr>
        <w:ind w:firstLine="709"/>
        <w:jc w:val="both"/>
        <w:rPr>
          <w:rFonts w:ascii="Times New Roman" w:hAnsi="Times New Roman" w:cs="Times New Roman"/>
          <w:sz w:val="24"/>
          <w:szCs w:val="24"/>
          <w:lang w:val="uk-UA"/>
        </w:rPr>
      </w:pPr>
      <w:r w:rsidRPr="00FB2F91">
        <w:rPr>
          <w:rFonts w:ascii="Times New Roman" w:hAnsi="Times New Roman" w:cs="Times New Roman"/>
          <w:noProof/>
          <w:sz w:val="24"/>
          <w:szCs w:val="24"/>
          <w:lang w:val="uk-UA" w:eastAsia="ru-RU"/>
        </w:rPr>
        <w:t xml:space="preserve">Перспективи розвитку ринків небанківських фінансових послуг перш за все, мають визначатися підвищенням ефективності державної регуляторної політики, функціональністю нормативно-правових актів, спрямованих на створення дієвого </w:t>
      </w:r>
      <w:r w:rsidRPr="00FB2F91">
        <w:rPr>
          <w:rFonts w:ascii="Times New Roman" w:hAnsi="Times New Roman" w:cs="Times New Roman"/>
          <w:noProof/>
          <w:sz w:val="24"/>
          <w:szCs w:val="24"/>
          <w:lang w:val="uk-UA" w:eastAsia="ru-RU"/>
        </w:rPr>
        <w:lastRenderedPageBreak/>
        <w:t>механізму державного регулювання та нагляду, зниженням витрат діяльності фінансових установ, спричинених надлишковим та неефективним державним регулюванням, забезпеченням конкуренції на фінансовому ринку, запобіганням діяльності недобросовісних компаній, скоординованістю із сучасними процесами реформування та дерегуляції економіки України.</w:t>
      </w:r>
    </w:p>
    <w:p w:rsidR="001F50CA" w:rsidRPr="00FB2F91" w:rsidRDefault="001F50CA" w:rsidP="00444E63">
      <w:pPr>
        <w:ind w:firstLine="709"/>
        <w:jc w:val="both"/>
        <w:rPr>
          <w:rFonts w:ascii="Times New Roman" w:hAnsi="Times New Roman" w:cs="Times New Roman"/>
          <w:sz w:val="24"/>
          <w:szCs w:val="24"/>
          <w:lang w:val="uk-UA"/>
        </w:rPr>
      </w:pPr>
    </w:p>
    <w:p w:rsidR="004C736E" w:rsidRPr="00FB2F91" w:rsidRDefault="00F33C53" w:rsidP="00444E63">
      <w:pPr>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p>
    <w:p w:rsidR="00C8406B" w:rsidRDefault="00C8406B" w:rsidP="00C8406B">
      <w:pPr>
        <w:pStyle w:val="2"/>
        <w:spacing w:before="0" w:beforeAutospacing="0" w:after="0" w:afterAutospacing="0"/>
        <w:ind w:firstLine="709"/>
        <w:jc w:val="both"/>
        <w:rPr>
          <w:b w:val="0"/>
          <w:sz w:val="24"/>
          <w:szCs w:val="24"/>
          <w:lang w:val="uk-UA"/>
        </w:rPr>
      </w:pPr>
      <w:r w:rsidRPr="00C8406B">
        <w:rPr>
          <w:b w:val="0"/>
          <w:noProof/>
          <w:sz w:val="24"/>
          <w:szCs w:val="24"/>
          <w:lang w:val="uk-UA"/>
        </w:rPr>
        <w:t xml:space="preserve">1. </w:t>
      </w:r>
      <w:r w:rsidR="001F50CA" w:rsidRPr="00C8406B">
        <w:rPr>
          <w:b w:val="0"/>
          <w:noProof/>
          <w:sz w:val="24"/>
          <w:szCs w:val="24"/>
          <w:lang w:val="uk-UA"/>
        </w:rPr>
        <w:t>Публічний звіт «Про діяльність національної комісії, що здійснює державне регулювання у сфері ринків фінансових послуг,</w:t>
      </w:r>
      <w:r w:rsidRPr="00C8406B">
        <w:rPr>
          <w:b w:val="0"/>
          <w:noProof/>
          <w:sz w:val="24"/>
          <w:szCs w:val="24"/>
          <w:lang w:val="uk-UA"/>
        </w:rPr>
        <w:t xml:space="preserve"> </w:t>
      </w:r>
      <w:r w:rsidR="001F50CA" w:rsidRPr="00C8406B">
        <w:rPr>
          <w:b w:val="0"/>
          <w:noProof/>
          <w:sz w:val="24"/>
          <w:szCs w:val="24"/>
          <w:lang w:val="uk-UA"/>
        </w:rPr>
        <w:t>за 2016 рік</w:t>
      </w:r>
      <w:r w:rsidR="00973FBF" w:rsidRPr="00C8406B">
        <w:rPr>
          <w:b w:val="0"/>
          <w:noProof/>
          <w:sz w:val="24"/>
          <w:szCs w:val="24"/>
          <w:lang w:val="uk-UA"/>
        </w:rPr>
        <w:t>»</w:t>
      </w:r>
      <w:r w:rsidRPr="00C8406B">
        <w:rPr>
          <w:b w:val="0"/>
          <w:noProof/>
          <w:sz w:val="24"/>
          <w:szCs w:val="24"/>
          <w:lang w:val="uk-UA"/>
        </w:rPr>
        <w:t xml:space="preserve"> </w:t>
      </w:r>
      <w:r w:rsidRPr="00C8406B">
        <w:rPr>
          <w:b w:val="0"/>
          <w:sz w:val="24"/>
          <w:szCs w:val="24"/>
          <w:lang w:val="uk-UA"/>
        </w:rPr>
        <w:t>[Електронний ресурс</w:t>
      </w:r>
      <w:r w:rsidRPr="00C8406B">
        <w:rPr>
          <w:b w:val="0"/>
          <w:sz w:val="24"/>
          <w:szCs w:val="24"/>
          <w:lang w:val="uk-UA"/>
        </w:rPr>
        <w:t>]</w:t>
      </w:r>
      <w:r w:rsidRPr="00C8406B">
        <w:rPr>
          <w:b w:val="0"/>
          <w:sz w:val="24"/>
          <w:szCs w:val="24"/>
          <w:lang w:val="uk-UA"/>
        </w:rPr>
        <w:t xml:space="preserve">. – </w:t>
      </w:r>
      <w:r w:rsidR="00973FBF" w:rsidRPr="00C8406B">
        <w:rPr>
          <w:b w:val="0"/>
          <w:noProof/>
          <w:sz w:val="24"/>
          <w:szCs w:val="24"/>
          <w:lang w:val="uk-UA"/>
        </w:rPr>
        <w:t xml:space="preserve"> Київ</w:t>
      </w:r>
      <w:r w:rsidRPr="00C8406B">
        <w:rPr>
          <w:b w:val="0"/>
          <w:noProof/>
          <w:sz w:val="24"/>
          <w:szCs w:val="24"/>
          <w:lang w:val="uk-UA"/>
        </w:rPr>
        <w:t>,</w:t>
      </w:r>
      <w:r w:rsidR="00973FBF" w:rsidRPr="00C8406B">
        <w:rPr>
          <w:b w:val="0"/>
          <w:noProof/>
          <w:sz w:val="24"/>
          <w:szCs w:val="24"/>
          <w:lang w:val="uk-UA"/>
        </w:rPr>
        <w:t xml:space="preserve"> 2017</w:t>
      </w:r>
      <w:r w:rsidRPr="00C8406B">
        <w:rPr>
          <w:b w:val="0"/>
          <w:noProof/>
          <w:sz w:val="24"/>
          <w:szCs w:val="24"/>
          <w:lang w:val="uk-UA"/>
        </w:rPr>
        <w:t xml:space="preserve">. – 64 с. – Режим доступу: </w:t>
      </w:r>
      <w:proofErr w:type="spellStart"/>
      <w:r w:rsidRPr="00C8406B">
        <w:rPr>
          <w:b w:val="0"/>
          <w:sz w:val="24"/>
          <w:szCs w:val="24"/>
        </w:rPr>
        <w:t>https</w:t>
      </w:r>
      <w:proofErr w:type="spellEnd"/>
      <w:r w:rsidRPr="00C8406B">
        <w:rPr>
          <w:b w:val="0"/>
          <w:sz w:val="24"/>
          <w:szCs w:val="24"/>
          <w:lang w:val="uk-UA"/>
        </w:rPr>
        <w:t>://</w:t>
      </w:r>
      <w:proofErr w:type="spellStart"/>
      <w:r w:rsidRPr="00C8406B">
        <w:rPr>
          <w:b w:val="0"/>
          <w:sz w:val="24"/>
          <w:szCs w:val="24"/>
        </w:rPr>
        <w:t>nfp</w:t>
      </w:r>
      <w:proofErr w:type="spellEnd"/>
      <w:r w:rsidRPr="00C8406B">
        <w:rPr>
          <w:b w:val="0"/>
          <w:sz w:val="24"/>
          <w:szCs w:val="24"/>
          <w:lang w:val="uk-UA"/>
        </w:rPr>
        <w:t>.</w:t>
      </w:r>
      <w:proofErr w:type="spellStart"/>
      <w:r w:rsidRPr="00C8406B">
        <w:rPr>
          <w:b w:val="0"/>
          <w:sz w:val="24"/>
          <w:szCs w:val="24"/>
        </w:rPr>
        <w:t>gov</w:t>
      </w:r>
      <w:proofErr w:type="spellEnd"/>
      <w:r w:rsidRPr="00C8406B">
        <w:rPr>
          <w:b w:val="0"/>
          <w:sz w:val="24"/>
          <w:szCs w:val="24"/>
          <w:lang w:val="uk-UA"/>
        </w:rPr>
        <w:t>.</w:t>
      </w:r>
      <w:proofErr w:type="spellStart"/>
      <w:r w:rsidRPr="00C8406B">
        <w:rPr>
          <w:b w:val="0"/>
          <w:sz w:val="24"/>
          <w:szCs w:val="24"/>
        </w:rPr>
        <w:t>ua</w:t>
      </w:r>
      <w:proofErr w:type="spellEnd"/>
      <w:r w:rsidRPr="00C8406B">
        <w:rPr>
          <w:b w:val="0"/>
          <w:sz w:val="24"/>
          <w:szCs w:val="24"/>
          <w:lang w:val="uk-UA"/>
        </w:rPr>
        <w:t>/</w:t>
      </w:r>
      <w:proofErr w:type="spellStart"/>
      <w:r w:rsidRPr="00C8406B">
        <w:rPr>
          <w:b w:val="0"/>
          <w:sz w:val="24"/>
          <w:szCs w:val="24"/>
        </w:rPr>
        <w:t>files</w:t>
      </w:r>
      <w:proofErr w:type="spellEnd"/>
      <w:r>
        <w:rPr>
          <w:b w:val="0"/>
          <w:sz w:val="24"/>
          <w:szCs w:val="24"/>
          <w:lang w:val="uk-UA"/>
        </w:rPr>
        <w:t>.</w:t>
      </w:r>
    </w:p>
    <w:p w:rsidR="004C736E" w:rsidRPr="00C8406B" w:rsidRDefault="00C8406B" w:rsidP="00C8406B">
      <w:pPr>
        <w:pStyle w:val="2"/>
        <w:spacing w:before="0" w:beforeAutospacing="0" w:after="0" w:afterAutospacing="0"/>
        <w:ind w:firstLine="709"/>
        <w:jc w:val="both"/>
        <w:rPr>
          <w:b w:val="0"/>
          <w:noProof/>
          <w:sz w:val="24"/>
          <w:szCs w:val="24"/>
          <w:lang w:val="uk-UA"/>
        </w:rPr>
      </w:pPr>
      <w:r w:rsidRPr="00C8406B">
        <w:rPr>
          <w:b w:val="0"/>
          <w:sz w:val="24"/>
          <w:szCs w:val="24"/>
          <w:lang w:val="uk-UA"/>
        </w:rPr>
        <w:t xml:space="preserve">2. </w:t>
      </w:r>
      <w:hyperlink r:id="rId6" w:history="1">
        <w:r w:rsidR="005B127B" w:rsidRPr="00C8406B">
          <w:rPr>
            <w:b w:val="0"/>
            <w:noProof/>
            <w:sz w:val="24"/>
            <w:szCs w:val="24"/>
            <w:lang w:val="uk-UA"/>
          </w:rPr>
          <w:t>Cтратегія реформування державного регулювання ринків небанківських  фінансових послуг на 2015-2020 роки</w:t>
        </w:r>
        <w:r w:rsidRPr="00C8406B">
          <w:rPr>
            <w:b w:val="0"/>
            <w:noProof/>
            <w:sz w:val="24"/>
            <w:szCs w:val="24"/>
            <w:lang w:val="uk-UA"/>
          </w:rPr>
          <w:t xml:space="preserve">, затверджена </w:t>
        </w:r>
        <w:r w:rsidRPr="00C8406B">
          <w:rPr>
            <w:b w:val="0"/>
            <w:sz w:val="24"/>
            <w:szCs w:val="24"/>
            <w:lang w:val="uk-UA"/>
          </w:rPr>
          <w:t>Розпорядження</w:t>
        </w:r>
        <w:r>
          <w:rPr>
            <w:b w:val="0"/>
            <w:sz w:val="24"/>
            <w:szCs w:val="24"/>
            <w:lang w:val="uk-UA"/>
          </w:rPr>
          <w:t>м</w:t>
        </w:r>
        <w:r w:rsidRPr="00C8406B">
          <w:rPr>
            <w:b w:val="0"/>
            <w:sz w:val="24"/>
            <w:szCs w:val="24"/>
            <w:lang w:val="uk-UA"/>
          </w:rPr>
          <w:t xml:space="preserve"> Національної комісії, що здійснює державне регулювання у сфері ринків фінансових послуг</w:t>
        </w:r>
        <w:r>
          <w:rPr>
            <w:b w:val="0"/>
            <w:sz w:val="24"/>
            <w:szCs w:val="24"/>
            <w:lang w:val="uk-UA"/>
          </w:rPr>
          <w:t xml:space="preserve"> </w:t>
        </w:r>
        <w:r w:rsidRPr="00C8406B">
          <w:rPr>
            <w:b w:val="0"/>
            <w:sz w:val="24"/>
            <w:szCs w:val="24"/>
            <w:lang w:val="uk-UA"/>
          </w:rPr>
          <w:t>від 19.03.2015</w:t>
        </w:r>
        <w:r>
          <w:rPr>
            <w:b w:val="0"/>
            <w:sz w:val="24"/>
            <w:szCs w:val="24"/>
            <w:lang w:val="uk-UA"/>
          </w:rPr>
          <w:t xml:space="preserve"> р.</w:t>
        </w:r>
        <w:r w:rsidRPr="00C8406B">
          <w:rPr>
            <w:b w:val="0"/>
            <w:sz w:val="24"/>
            <w:szCs w:val="24"/>
            <w:lang w:val="uk-UA"/>
          </w:rPr>
          <w:t xml:space="preserve"> № 499</w:t>
        </w:r>
        <w:r>
          <w:rPr>
            <w:b w:val="0"/>
            <w:noProof/>
            <w:sz w:val="24"/>
            <w:szCs w:val="24"/>
            <w:lang w:val="uk-UA"/>
          </w:rPr>
          <w:t xml:space="preserve"> </w:t>
        </w:r>
        <w:r w:rsidRPr="00C8406B">
          <w:rPr>
            <w:b w:val="0"/>
            <w:noProof/>
            <w:sz w:val="24"/>
            <w:szCs w:val="24"/>
            <w:lang w:val="uk-UA"/>
          </w:rPr>
          <w:t xml:space="preserve"> </w:t>
        </w:r>
        <w:r w:rsidRPr="00C8406B">
          <w:rPr>
            <w:b w:val="0"/>
            <w:sz w:val="24"/>
            <w:szCs w:val="24"/>
            <w:lang w:val="uk-UA"/>
          </w:rPr>
          <w:t>[Електронний ресурс]</w:t>
        </w:r>
      </w:hyperlink>
      <w:r>
        <w:rPr>
          <w:rStyle w:val="a4"/>
          <w:b w:val="0"/>
          <w:color w:val="auto"/>
          <w:sz w:val="24"/>
          <w:szCs w:val="24"/>
          <w:u w:val="none"/>
          <w:lang w:val="uk-UA"/>
        </w:rPr>
        <w:t xml:space="preserve">. - </w:t>
      </w:r>
      <w:r w:rsidRPr="00C8406B">
        <w:rPr>
          <w:b w:val="0"/>
          <w:noProof/>
          <w:sz w:val="24"/>
          <w:szCs w:val="24"/>
          <w:lang w:val="uk-UA"/>
        </w:rPr>
        <w:t xml:space="preserve">Режим доступу: </w:t>
      </w:r>
      <w:r w:rsidRPr="00C8406B">
        <w:rPr>
          <w:b w:val="0"/>
          <w:sz w:val="24"/>
          <w:szCs w:val="24"/>
        </w:rPr>
        <w:t>https</w:t>
      </w:r>
      <w:r w:rsidRPr="00C8406B">
        <w:rPr>
          <w:b w:val="0"/>
          <w:sz w:val="24"/>
          <w:szCs w:val="24"/>
          <w:lang w:val="uk-UA"/>
        </w:rPr>
        <w:t>://</w:t>
      </w:r>
      <w:r w:rsidRPr="00C8406B">
        <w:rPr>
          <w:b w:val="0"/>
          <w:sz w:val="24"/>
          <w:szCs w:val="24"/>
        </w:rPr>
        <w:t>nfp</w:t>
      </w:r>
      <w:r w:rsidRPr="00C8406B">
        <w:rPr>
          <w:b w:val="0"/>
          <w:sz w:val="24"/>
          <w:szCs w:val="24"/>
          <w:lang w:val="uk-UA"/>
        </w:rPr>
        <w:t>.</w:t>
      </w:r>
      <w:r w:rsidRPr="00C8406B">
        <w:rPr>
          <w:b w:val="0"/>
          <w:sz w:val="24"/>
          <w:szCs w:val="24"/>
        </w:rPr>
        <w:t>gov</w:t>
      </w:r>
      <w:r w:rsidRPr="00C8406B">
        <w:rPr>
          <w:b w:val="0"/>
          <w:sz w:val="24"/>
          <w:szCs w:val="24"/>
          <w:lang w:val="uk-UA"/>
        </w:rPr>
        <w:t>.</w:t>
      </w:r>
      <w:r w:rsidRPr="00C8406B">
        <w:rPr>
          <w:b w:val="0"/>
          <w:sz w:val="24"/>
          <w:szCs w:val="24"/>
        </w:rPr>
        <w:t>ua</w:t>
      </w:r>
      <w:bookmarkStart w:id="0" w:name="_GoBack"/>
      <w:bookmarkEnd w:id="0"/>
      <w:r>
        <w:rPr>
          <w:b w:val="0"/>
          <w:sz w:val="24"/>
          <w:szCs w:val="24"/>
          <w:lang w:val="uk-UA"/>
        </w:rPr>
        <w:t>.</w:t>
      </w:r>
    </w:p>
    <w:p w:rsidR="00485664" w:rsidRPr="00C8406B" w:rsidRDefault="00485664" w:rsidP="00444E63">
      <w:pPr>
        <w:ind w:firstLine="709"/>
        <w:jc w:val="both"/>
        <w:rPr>
          <w:rFonts w:ascii="Times New Roman" w:hAnsi="Times New Roman" w:cs="Times New Roman"/>
          <w:sz w:val="24"/>
          <w:szCs w:val="24"/>
          <w:lang w:val="uk-UA"/>
        </w:rPr>
      </w:pPr>
    </w:p>
    <w:sectPr w:rsidR="00485664" w:rsidRPr="00C8406B" w:rsidSect="0097407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934"/>
    <w:multiLevelType w:val="multilevel"/>
    <w:tmpl w:val="B4BA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E04CF"/>
    <w:multiLevelType w:val="multilevel"/>
    <w:tmpl w:val="36AC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57D0B"/>
    <w:multiLevelType w:val="hybridMultilevel"/>
    <w:tmpl w:val="25F0CAA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15:restartNumberingAfterBreak="0">
    <w:nsid w:val="2D0D1523"/>
    <w:multiLevelType w:val="hybridMultilevel"/>
    <w:tmpl w:val="0804BFE2"/>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2E8738C3"/>
    <w:multiLevelType w:val="multilevel"/>
    <w:tmpl w:val="93B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2BD9"/>
    <w:multiLevelType w:val="multilevel"/>
    <w:tmpl w:val="D59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44C0F"/>
    <w:rsid w:val="00020217"/>
    <w:rsid w:val="000E679C"/>
    <w:rsid w:val="00106321"/>
    <w:rsid w:val="001617A6"/>
    <w:rsid w:val="0019128C"/>
    <w:rsid w:val="001D7DE0"/>
    <w:rsid w:val="001F50CA"/>
    <w:rsid w:val="002D71C2"/>
    <w:rsid w:val="002F59BA"/>
    <w:rsid w:val="003A5577"/>
    <w:rsid w:val="003D2029"/>
    <w:rsid w:val="003F15FB"/>
    <w:rsid w:val="00411A6C"/>
    <w:rsid w:val="00435EE6"/>
    <w:rsid w:val="00444E63"/>
    <w:rsid w:val="00452348"/>
    <w:rsid w:val="00485664"/>
    <w:rsid w:val="004860C2"/>
    <w:rsid w:val="004C736E"/>
    <w:rsid w:val="005B127B"/>
    <w:rsid w:val="005E1561"/>
    <w:rsid w:val="006058E9"/>
    <w:rsid w:val="00644C0F"/>
    <w:rsid w:val="006B23C0"/>
    <w:rsid w:val="006D432D"/>
    <w:rsid w:val="007043DF"/>
    <w:rsid w:val="00761217"/>
    <w:rsid w:val="007B6690"/>
    <w:rsid w:val="00810D05"/>
    <w:rsid w:val="008E3C11"/>
    <w:rsid w:val="008F0B50"/>
    <w:rsid w:val="00960F2B"/>
    <w:rsid w:val="00973FBF"/>
    <w:rsid w:val="00974077"/>
    <w:rsid w:val="00993EE6"/>
    <w:rsid w:val="00A735A7"/>
    <w:rsid w:val="00AD10AB"/>
    <w:rsid w:val="00AD6E5E"/>
    <w:rsid w:val="00AE35EC"/>
    <w:rsid w:val="00B020D2"/>
    <w:rsid w:val="00B40774"/>
    <w:rsid w:val="00B84A04"/>
    <w:rsid w:val="00BA43AD"/>
    <w:rsid w:val="00C6332F"/>
    <w:rsid w:val="00C8406B"/>
    <w:rsid w:val="00D47FAB"/>
    <w:rsid w:val="00D62C30"/>
    <w:rsid w:val="00D85F0F"/>
    <w:rsid w:val="00E16951"/>
    <w:rsid w:val="00E632EA"/>
    <w:rsid w:val="00E76B57"/>
    <w:rsid w:val="00EC5FE8"/>
    <w:rsid w:val="00F058D5"/>
    <w:rsid w:val="00F32E9D"/>
    <w:rsid w:val="00F33C53"/>
    <w:rsid w:val="00F6160D"/>
    <w:rsid w:val="00FA4C45"/>
    <w:rsid w:val="00FB2F91"/>
    <w:rsid w:val="00FD37E3"/>
    <w:rsid w:val="00FE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FFDEC-D858-4A5C-908F-ABE646D4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EE6"/>
  </w:style>
  <w:style w:type="paragraph" w:styleId="2">
    <w:name w:val="heading 2"/>
    <w:basedOn w:val="a"/>
    <w:link w:val="20"/>
    <w:uiPriority w:val="9"/>
    <w:qFormat/>
    <w:rsid w:val="00485664"/>
    <w:pPr>
      <w:spacing w:before="100" w:beforeAutospacing="1" w:after="100" w:afterAutospacing="1"/>
      <w:ind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C0F"/>
    <w:pPr>
      <w:ind w:left="720"/>
      <w:contextualSpacing/>
    </w:pPr>
  </w:style>
  <w:style w:type="character" w:styleId="a4">
    <w:name w:val="Hyperlink"/>
    <w:basedOn w:val="a0"/>
    <w:uiPriority w:val="99"/>
    <w:unhideWhenUsed/>
    <w:rsid w:val="003A5577"/>
    <w:rPr>
      <w:color w:val="0000FF" w:themeColor="hyperlink"/>
      <w:u w:val="single"/>
    </w:rPr>
  </w:style>
  <w:style w:type="character" w:customStyle="1" w:styleId="20">
    <w:name w:val="Заголовок 2 Знак"/>
    <w:basedOn w:val="a0"/>
    <w:link w:val="2"/>
    <w:uiPriority w:val="9"/>
    <w:rsid w:val="00485664"/>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485664"/>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6">
    <w:name w:val="Strong"/>
    <w:basedOn w:val="a0"/>
    <w:uiPriority w:val="22"/>
    <w:qFormat/>
    <w:rsid w:val="00485664"/>
    <w:rPr>
      <w:b/>
      <w:bCs/>
    </w:rPr>
  </w:style>
  <w:style w:type="paragraph" w:styleId="a7">
    <w:name w:val="Balloon Text"/>
    <w:basedOn w:val="a"/>
    <w:link w:val="a8"/>
    <w:uiPriority w:val="99"/>
    <w:semiHidden/>
    <w:unhideWhenUsed/>
    <w:rsid w:val="00485664"/>
    <w:rPr>
      <w:rFonts w:ascii="Tahoma" w:hAnsi="Tahoma" w:cs="Tahoma"/>
      <w:sz w:val="16"/>
      <w:szCs w:val="16"/>
    </w:rPr>
  </w:style>
  <w:style w:type="character" w:customStyle="1" w:styleId="a8">
    <w:name w:val="Текст у виносці Знак"/>
    <w:basedOn w:val="a0"/>
    <w:link w:val="a7"/>
    <w:uiPriority w:val="99"/>
    <w:semiHidden/>
    <w:rsid w:val="00485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4008">
      <w:bodyDiv w:val="1"/>
      <w:marLeft w:val="0"/>
      <w:marRight w:val="0"/>
      <w:marTop w:val="0"/>
      <w:marBottom w:val="0"/>
      <w:divBdr>
        <w:top w:val="none" w:sz="0" w:space="0" w:color="auto"/>
        <w:left w:val="none" w:sz="0" w:space="0" w:color="auto"/>
        <w:bottom w:val="none" w:sz="0" w:space="0" w:color="auto"/>
        <w:right w:val="none" w:sz="0" w:space="0" w:color="auto"/>
      </w:divBdr>
      <w:divsChild>
        <w:div w:id="372001374">
          <w:marLeft w:val="-2625"/>
          <w:marRight w:val="0"/>
          <w:marTop w:val="450"/>
          <w:marBottom w:val="450"/>
          <w:divBdr>
            <w:top w:val="none" w:sz="0" w:space="0" w:color="auto"/>
            <w:left w:val="none" w:sz="0" w:space="0" w:color="auto"/>
            <w:bottom w:val="none" w:sz="0" w:space="0" w:color="auto"/>
            <w:right w:val="none" w:sz="0" w:space="0" w:color="auto"/>
          </w:divBdr>
        </w:div>
        <w:div w:id="407046215">
          <w:marLeft w:val="-2625"/>
          <w:marRight w:val="0"/>
          <w:marTop w:val="450"/>
          <w:marBottom w:val="450"/>
          <w:divBdr>
            <w:top w:val="none" w:sz="0" w:space="0" w:color="auto"/>
            <w:left w:val="none" w:sz="0" w:space="0" w:color="auto"/>
            <w:bottom w:val="none" w:sz="0" w:space="0" w:color="auto"/>
            <w:right w:val="none" w:sz="0" w:space="0" w:color="auto"/>
          </w:divBdr>
        </w:div>
      </w:divsChild>
    </w:div>
    <w:div w:id="632633665">
      <w:bodyDiv w:val="1"/>
      <w:marLeft w:val="0"/>
      <w:marRight w:val="0"/>
      <w:marTop w:val="0"/>
      <w:marBottom w:val="0"/>
      <w:divBdr>
        <w:top w:val="none" w:sz="0" w:space="0" w:color="auto"/>
        <w:left w:val="none" w:sz="0" w:space="0" w:color="auto"/>
        <w:bottom w:val="none" w:sz="0" w:space="0" w:color="auto"/>
        <w:right w:val="none" w:sz="0" w:space="0" w:color="auto"/>
      </w:divBdr>
    </w:div>
    <w:div w:id="1129662127">
      <w:bodyDiv w:val="1"/>
      <w:marLeft w:val="0"/>
      <w:marRight w:val="0"/>
      <w:marTop w:val="0"/>
      <w:marBottom w:val="0"/>
      <w:divBdr>
        <w:top w:val="none" w:sz="0" w:space="0" w:color="auto"/>
        <w:left w:val="none" w:sz="0" w:space="0" w:color="auto"/>
        <w:bottom w:val="none" w:sz="0" w:space="0" w:color="auto"/>
        <w:right w:val="none" w:sz="0" w:space="0" w:color="auto"/>
      </w:divBdr>
    </w:div>
    <w:div w:id="1299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ss.gov.ua/articles/2070/).%5b2"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2306</TotalTime>
  <Pages>3</Pages>
  <Words>811</Words>
  <Characters>4623</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t100</cp:lastModifiedBy>
  <cp:revision>19</cp:revision>
  <dcterms:created xsi:type="dcterms:W3CDTF">2017-09-27T16:16:00Z</dcterms:created>
  <dcterms:modified xsi:type="dcterms:W3CDTF">2017-10-19T20:44:00Z</dcterms:modified>
</cp:coreProperties>
</file>