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13" w:rsidRPr="00BF4686" w:rsidRDefault="00AE5113" w:rsidP="003C63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86">
        <w:rPr>
          <w:rFonts w:ascii="Times New Roman" w:hAnsi="Times New Roman" w:cs="Times New Roman"/>
          <w:b/>
          <w:sz w:val="24"/>
          <w:szCs w:val="24"/>
        </w:rPr>
        <w:t>УДК 338.23:336.74</w:t>
      </w:r>
    </w:p>
    <w:p w:rsidR="004D466D" w:rsidRDefault="004D466D" w:rsidP="003C63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Глушко Аліна Дмитрівна,</w:t>
      </w:r>
    </w:p>
    <w:p w:rsidR="004D466D" w:rsidRPr="00D4542B" w:rsidRDefault="004D466D" w:rsidP="004D466D">
      <w:pPr>
        <w:widowControl w:val="0"/>
        <w:tabs>
          <w:tab w:val="right" w:leader="dot" w:pos="9356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4542B">
        <w:rPr>
          <w:rFonts w:ascii="Times New Roman" w:hAnsi="Times New Roman" w:cs="Times New Roman"/>
          <w:i/>
          <w:color w:val="000000"/>
          <w:sz w:val="24"/>
          <w:szCs w:val="24"/>
        </w:rPr>
        <w:t>Полтавський національний технічний університет імені Юрія Кондратюка</w:t>
      </w:r>
    </w:p>
    <w:p w:rsidR="004D466D" w:rsidRDefault="004D466D" w:rsidP="004D46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кандидат економічних наук, доцент</w:t>
      </w:r>
    </w:p>
    <w:p w:rsidR="00C15E83" w:rsidRDefault="003C6362" w:rsidP="003C63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4542B">
        <w:rPr>
          <w:rFonts w:ascii="Times New Roman" w:hAnsi="Times New Roman" w:cs="Times New Roman"/>
          <w:b/>
          <w:i/>
          <w:sz w:val="24"/>
          <w:szCs w:val="24"/>
        </w:rPr>
        <w:t>Шевченко Оле</w:t>
      </w:r>
      <w:r w:rsidR="00C73770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D454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3770">
        <w:rPr>
          <w:rFonts w:ascii="Times New Roman" w:hAnsi="Times New Roman" w:cs="Times New Roman"/>
          <w:b/>
          <w:i/>
          <w:sz w:val="24"/>
          <w:szCs w:val="24"/>
        </w:rPr>
        <w:t>Олександрович</w:t>
      </w:r>
      <w:r w:rsidR="00C15E83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</w:p>
    <w:p w:rsidR="00C15E83" w:rsidRPr="00D4542B" w:rsidRDefault="00C15E83" w:rsidP="00C15E83">
      <w:pPr>
        <w:widowControl w:val="0"/>
        <w:tabs>
          <w:tab w:val="right" w:leader="dot" w:pos="9356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4542B">
        <w:rPr>
          <w:rFonts w:ascii="Times New Roman" w:hAnsi="Times New Roman" w:cs="Times New Roman"/>
          <w:i/>
          <w:color w:val="000000"/>
          <w:sz w:val="24"/>
          <w:szCs w:val="24"/>
        </w:rPr>
        <w:t>Полтавський національний технічний університет імені Юрія Кондратюка</w:t>
      </w:r>
    </w:p>
    <w:p w:rsidR="00C15E83" w:rsidRPr="00C15E83" w:rsidRDefault="00C15E83" w:rsidP="00C15E83">
      <w:pPr>
        <w:widowControl w:val="0"/>
        <w:tabs>
          <w:tab w:val="right" w:leader="dot" w:pos="9356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Pr="00C15E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4 </w:t>
      </w:r>
      <w:r>
        <w:rPr>
          <w:rFonts w:ascii="Times New Roman" w:hAnsi="Times New Roman" w:cs="Times New Roman"/>
          <w:i/>
          <w:sz w:val="24"/>
          <w:szCs w:val="24"/>
        </w:rPr>
        <w:t>курсу</w:t>
      </w:r>
    </w:p>
    <w:p w:rsidR="003C6362" w:rsidRPr="00090824" w:rsidRDefault="00090824" w:rsidP="003C63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b/>
          <w:i/>
          <w:sz w:val="24"/>
          <w:szCs w:val="24"/>
        </w:rPr>
        <w:t>іпніс Євген Максимович</w:t>
      </w:r>
      <w:bookmarkStart w:id="0" w:name="_GoBack"/>
      <w:bookmarkEnd w:id="0"/>
    </w:p>
    <w:p w:rsidR="003C6362" w:rsidRPr="00D4542B" w:rsidRDefault="003C6362" w:rsidP="003C6362">
      <w:pPr>
        <w:widowControl w:val="0"/>
        <w:tabs>
          <w:tab w:val="right" w:leader="dot" w:pos="9356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4542B">
        <w:rPr>
          <w:rFonts w:ascii="Times New Roman" w:hAnsi="Times New Roman" w:cs="Times New Roman"/>
          <w:i/>
          <w:color w:val="000000"/>
          <w:sz w:val="24"/>
          <w:szCs w:val="24"/>
        </w:rPr>
        <w:t>Полтавський національний технічний університет імені Юрія Кондратюка</w:t>
      </w:r>
    </w:p>
    <w:p w:rsidR="003C6362" w:rsidRPr="00D4542B" w:rsidRDefault="00C15E83" w:rsidP="003C6362">
      <w:pPr>
        <w:widowControl w:val="0"/>
        <w:tabs>
          <w:tab w:val="right" w:leader="dot" w:pos="9356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C73770">
        <w:rPr>
          <w:rFonts w:ascii="Times New Roman" w:hAnsi="Times New Roman" w:cs="Times New Roman"/>
          <w:i/>
          <w:sz w:val="24"/>
          <w:szCs w:val="24"/>
        </w:rPr>
        <w:t>тудент</w:t>
      </w:r>
      <w:r>
        <w:rPr>
          <w:rFonts w:ascii="Times New Roman" w:hAnsi="Times New Roman" w:cs="Times New Roman"/>
          <w:i/>
          <w:sz w:val="24"/>
          <w:szCs w:val="24"/>
        </w:rPr>
        <w:t xml:space="preserve"> 4 курсу</w:t>
      </w:r>
    </w:p>
    <w:p w:rsidR="003C6362" w:rsidRPr="00D4542B" w:rsidRDefault="003C6362" w:rsidP="003C6362">
      <w:pPr>
        <w:widowControl w:val="0"/>
        <w:tabs>
          <w:tab w:val="right" w:leader="dot" w:pos="9356"/>
        </w:tabs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59DA" w:rsidRDefault="00AA71C3" w:rsidP="003C6362">
      <w:pPr>
        <w:widowControl w:val="0"/>
        <w:tabs>
          <w:tab w:val="right" w:leader="dot" w:pos="9356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МІЖНАРОДНИЙ ДОСВІД </w:t>
      </w:r>
      <w:r w:rsidR="00C15E83">
        <w:rPr>
          <w:rFonts w:ascii="Times New Roman" w:hAnsi="Times New Roman" w:cs="Times New Roman"/>
          <w:sz w:val="24"/>
          <w:szCs w:val="24"/>
        </w:rPr>
        <w:t>РЕАЛІЗАЦІЇ</w:t>
      </w:r>
      <w:r w:rsidR="00DB7EAF">
        <w:rPr>
          <w:rFonts w:ascii="Times New Roman" w:hAnsi="Times New Roman" w:cs="Times New Roman"/>
          <w:sz w:val="24"/>
          <w:szCs w:val="24"/>
        </w:rPr>
        <w:t xml:space="preserve"> ПОЛІТИКИ ІНФЛЯЦІЙНОГО </w:t>
      </w:r>
      <w:r w:rsidR="00DB7EAF" w:rsidRPr="00DA59DA">
        <w:rPr>
          <w:rFonts w:ascii="Times New Roman" w:hAnsi="Times New Roman" w:cs="Times New Roman"/>
          <w:sz w:val="24"/>
          <w:szCs w:val="24"/>
        </w:rPr>
        <w:t>ТАРГЕТУВАННЯ</w:t>
      </w:r>
      <w:r w:rsidR="00DB7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DA" w:rsidRDefault="00DA59DA" w:rsidP="003C6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15C" w:rsidRPr="004027E6" w:rsidRDefault="00513117" w:rsidP="0046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умовах зростання відкритості та</w:t>
      </w:r>
      <w:r w:rsidR="009455F5" w:rsidRPr="00402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взаємозалежності економік, лібералізації капітальних </w:t>
      </w:r>
      <w:r w:rsidR="009455F5" w:rsidRPr="004027E6">
        <w:rPr>
          <w:rFonts w:ascii="Times New Roman" w:hAnsi="Times New Roman" w:cs="Times New Roman"/>
          <w:sz w:val="24"/>
          <w:szCs w:val="24"/>
        </w:rPr>
        <w:t xml:space="preserve">потоків, проблема </w:t>
      </w:r>
      <w:r>
        <w:rPr>
          <w:rFonts w:ascii="Times New Roman" w:hAnsi="Times New Roman" w:cs="Times New Roman"/>
          <w:sz w:val="24"/>
          <w:szCs w:val="24"/>
        </w:rPr>
        <w:t xml:space="preserve">врегулювання </w:t>
      </w:r>
      <w:r w:rsidR="009455F5" w:rsidRPr="004027E6">
        <w:rPr>
          <w:rFonts w:ascii="Times New Roman" w:hAnsi="Times New Roman" w:cs="Times New Roman"/>
          <w:sz w:val="24"/>
          <w:szCs w:val="24"/>
        </w:rPr>
        <w:t>зростання цін перейшла до першочергових завдань центральн</w:t>
      </w:r>
      <w:r w:rsidR="009D0346">
        <w:rPr>
          <w:rFonts w:ascii="Times New Roman" w:hAnsi="Times New Roman" w:cs="Times New Roman"/>
          <w:sz w:val="24"/>
          <w:szCs w:val="24"/>
        </w:rPr>
        <w:t>их</w:t>
      </w:r>
      <w:r w:rsidR="009455F5" w:rsidRPr="004027E6">
        <w:rPr>
          <w:rFonts w:ascii="Times New Roman" w:hAnsi="Times New Roman" w:cs="Times New Roman"/>
          <w:sz w:val="24"/>
          <w:szCs w:val="24"/>
        </w:rPr>
        <w:t xml:space="preserve"> банк</w:t>
      </w:r>
      <w:r w:rsidR="009D0346">
        <w:rPr>
          <w:rFonts w:ascii="Times New Roman" w:hAnsi="Times New Roman" w:cs="Times New Roman"/>
          <w:sz w:val="24"/>
          <w:szCs w:val="24"/>
        </w:rPr>
        <w:t>ів країн світу</w:t>
      </w:r>
      <w:r>
        <w:rPr>
          <w:rFonts w:ascii="Times New Roman" w:hAnsi="Times New Roman" w:cs="Times New Roman"/>
          <w:sz w:val="24"/>
          <w:szCs w:val="24"/>
        </w:rPr>
        <w:t>. Саме глобалізаційні процеси зумовили необхідність встановлення</w:t>
      </w:r>
      <w:r w:rsidR="009455F5" w:rsidRPr="004027E6">
        <w:rPr>
          <w:rFonts w:ascii="Times New Roman" w:hAnsi="Times New Roman" w:cs="Times New Roman"/>
          <w:sz w:val="24"/>
          <w:szCs w:val="24"/>
        </w:rPr>
        <w:t xml:space="preserve"> цінової стабільності як основної цілі грошово-кредитної політики.</w:t>
      </w:r>
      <w:r w:rsidR="00116E0D" w:rsidRPr="004027E6">
        <w:rPr>
          <w:rFonts w:ascii="Times New Roman" w:hAnsi="Times New Roman" w:cs="Times New Roman"/>
          <w:sz w:val="24"/>
          <w:szCs w:val="24"/>
        </w:rPr>
        <w:t xml:space="preserve"> </w:t>
      </w:r>
      <w:r w:rsidR="005B0015" w:rsidRPr="004027E6">
        <w:rPr>
          <w:rFonts w:ascii="Times New Roman" w:hAnsi="Times New Roman" w:cs="Times New Roman"/>
          <w:sz w:val="24"/>
          <w:szCs w:val="24"/>
        </w:rPr>
        <w:t>У</w:t>
      </w:r>
      <w:r w:rsidR="00C94809" w:rsidRPr="004027E6">
        <w:rPr>
          <w:rFonts w:ascii="Times New Roman" w:hAnsi="Times New Roman" w:cs="Times New Roman"/>
          <w:sz w:val="24"/>
          <w:szCs w:val="24"/>
        </w:rPr>
        <w:t xml:space="preserve"> </w:t>
      </w:r>
      <w:r w:rsidR="005A4A13" w:rsidRPr="004027E6">
        <w:rPr>
          <w:rFonts w:ascii="Times New Roman" w:hAnsi="Times New Roman" w:cs="Times New Roman"/>
          <w:sz w:val="24"/>
          <w:szCs w:val="24"/>
        </w:rPr>
        <w:t>цьому контексті</w:t>
      </w:r>
      <w:r w:rsidR="005B0015" w:rsidRPr="004027E6">
        <w:rPr>
          <w:rFonts w:ascii="Times New Roman" w:hAnsi="Times New Roman" w:cs="Times New Roman"/>
          <w:sz w:val="24"/>
          <w:szCs w:val="24"/>
        </w:rPr>
        <w:t xml:space="preserve"> </w:t>
      </w:r>
      <w:r w:rsidR="00AD447B" w:rsidRPr="004027E6">
        <w:rPr>
          <w:rFonts w:ascii="Lora-Regular" w:hAnsi="Lora-Regular"/>
          <w:sz w:val="24"/>
          <w:szCs w:val="24"/>
          <w:shd w:val="clear" w:color="auto" w:fill="FFFFFF"/>
        </w:rPr>
        <w:t>пріоритетною місією Національного банку України</w:t>
      </w:r>
      <w:r w:rsidR="00C94809" w:rsidRPr="004027E6">
        <w:rPr>
          <w:rFonts w:ascii="Times New Roman" w:hAnsi="Times New Roman" w:cs="Times New Roman"/>
          <w:sz w:val="24"/>
          <w:szCs w:val="24"/>
        </w:rPr>
        <w:t xml:space="preserve"> </w:t>
      </w:r>
      <w:r w:rsidR="00AD447B" w:rsidRPr="004027E6">
        <w:rPr>
          <w:rFonts w:ascii="Times New Roman" w:hAnsi="Times New Roman" w:cs="Times New Roman"/>
          <w:sz w:val="24"/>
          <w:szCs w:val="24"/>
        </w:rPr>
        <w:t>відповідно до</w:t>
      </w:r>
      <w:r w:rsidR="00116E0D" w:rsidRPr="004027E6">
        <w:rPr>
          <w:rFonts w:ascii="Times New Roman" w:hAnsi="Times New Roman" w:cs="Times New Roman"/>
          <w:sz w:val="24"/>
          <w:szCs w:val="24"/>
        </w:rPr>
        <w:t xml:space="preserve"> </w:t>
      </w:r>
      <w:r w:rsidR="00116E0D" w:rsidRPr="004027E6">
        <w:rPr>
          <w:rStyle w:val="rvts23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Основних засад грошово-кредитної політики</w:t>
      </w:r>
      <w:r w:rsidR="00116E0D" w:rsidRPr="004027E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16E0D" w:rsidRPr="004027E6">
        <w:rPr>
          <w:rStyle w:val="rvts23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на 2016 </w:t>
      </w:r>
      <w:r>
        <w:rPr>
          <w:rStyle w:val="rvts23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–</w:t>
      </w:r>
      <w:r w:rsidR="00116E0D" w:rsidRPr="004027E6">
        <w:rPr>
          <w:rStyle w:val="rvts23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2020 роки</w:t>
      </w:r>
      <w:r w:rsidR="00116E0D" w:rsidRPr="00402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є досягнення цінової стабільності</w:t>
      </w:r>
      <w:r w:rsidR="00B76D8E" w:rsidRPr="0040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671A28" w:rsidRPr="004027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76D8E" w:rsidRPr="004027E6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2A4B05" w:rsidRPr="004027E6">
        <w:rPr>
          <w:rFonts w:ascii="Times New Roman" w:hAnsi="Times New Roman" w:cs="Times New Roman"/>
          <w:sz w:val="24"/>
          <w:szCs w:val="24"/>
        </w:rPr>
        <w:t xml:space="preserve"> Вирішення цього завдання доцільно здійснювати за допомогою </w:t>
      </w:r>
      <w:r w:rsidR="00651DD8">
        <w:rPr>
          <w:rFonts w:ascii="Times New Roman" w:hAnsi="Times New Roman" w:cs="Times New Roman"/>
          <w:sz w:val="24"/>
          <w:szCs w:val="24"/>
        </w:rPr>
        <w:t>реалізації</w:t>
      </w:r>
      <w:r w:rsidR="002A4B05" w:rsidRPr="004027E6">
        <w:rPr>
          <w:rFonts w:ascii="Times New Roman" w:hAnsi="Times New Roman" w:cs="Times New Roman"/>
          <w:sz w:val="24"/>
          <w:szCs w:val="24"/>
        </w:rPr>
        <w:t xml:space="preserve"> найбільш ефективного режиму грошово-кредитної політики – політики інфляційного таргетування.</w:t>
      </w:r>
    </w:p>
    <w:p w:rsidR="0066518D" w:rsidRPr="004027E6" w:rsidRDefault="00DA59DA" w:rsidP="00DA59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За визначенням Європейського центрального банку, інфляційне </w:t>
      </w:r>
      <w:proofErr w:type="spellStart"/>
      <w:r w:rsidRPr="004027E6">
        <w:rPr>
          <w:rFonts w:ascii="Times New Roman" w:hAnsi="Times New Roman" w:cs="Times New Roman"/>
          <w:sz w:val="24"/>
          <w:szCs w:val="24"/>
          <w:lang w:val="uk-UA"/>
        </w:rPr>
        <w:t>таргетування</w:t>
      </w:r>
      <w:proofErr w:type="spellEnd"/>
      <w:r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F15" w:rsidRPr="004027E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6518D" w:rsidRPr="004027E6">
        <w:rPr>
          <w:rFonts w:ascii="Times New Roman" w:hAnsi="Times New Roman" w:cs="Times New Roman"/>
          <w:sz w:val="24"/>
          <w:szCs w:val="24"/>
          <w:lang w:val="uk-UA"/>
        </w:rPr>
        <w:t>ІТ</w:t>
      </w:r>
      <w:r w:rsidR="002E4F15" w:rsidRPr="004027E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 – стратегія монетарної політики, спрямована на підтримання стабільності цін і зосереджена на мінімізації відхилень у прогнозах інфляції від оголошеної інфляційної мети [</w:t>
      </w:r>
      <w:r w:rsidR="00671A28" w:rsidRPr="004027E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027E6">
        <w:rPr>
          <w:rFonts w:ascii="Times New Roman" w:hAnsi="Times New Roman" w:cs="Times New Roman"/>
          <w:sz w:val="24"/>
          <w:szCs w:val="24"/>
          <w:lang w:val="uk-UA"/>
        </w:rPr>
        <w:t>, с. 27]</w:t>
      </w:r>
      <w:r w:rsidRPr="009D0346">
        <w:rPr>
          <w:sz w:val="24"/>
          <w:szCs w:val="24"/>
          <w:lang w:val="uk-UA"/>
        </w:rPr>
        <w:t xml:space="preserve">. </w:t>
      </w:r>
      <w:r w:rsidRPr="004027E6">
        <w:rPr>
          <w:rFonts w:ascii="Times New Roman" w:hAnsi="Times New Roman" w:cs="Times New Roman"/>
          <w:sz w:val="24"/>
          <w:szCs w:val="24"/>
          <w:lang w:val="uk-UA"/>
        </w:rPr>
        <w:t>Отже, режим</w:t>
      </w:r>
      <w:r w:rsidR="002E4F15"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 ІТ </w:t>
      </w:r>
      <w:r w:rsidRPr="004027E6">
        <w:rPr>
          <w:rFonts w:ascii="Times New Roman" w:hAnsi="Times New Roman" w:cs="Times New Roman"/>
          <w:sz w:val="24"/>
          <w:szCs w:val="24"/>
          <w:lang w:val="uk-UA"/>
        </w:rPr>
        <w:t>– комплекс заходів, що застосовує  центральний банк в межах власної компетенції, з метою запобігання розриву між заздалегідь оголошеним показником інфляції (</w:t>
      </w:r>
      <w:proofErr w:type="spellStart"/>
      <w:r w:rsidRPr="004027E6">
        <w:rPr>
          <w:rFonts w:ascii="Times New Roman" w:hAnsi="Times New Roman" w:cs="Times New Roman"/>
          <w:sz w:val="24"/>
          <w:szCs w:val="24"/>
          <w:lang w:val="uk-UA"/>
        </w:rPr>
        <w:t>таргетом</w:t>
      </w:r>
      <w:proofErr w:type="spellEnd"/>
      <w:r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) і фактичним його значенням. Відсутність такого розриву є необхідною умовою стабільності національної грошової одиниці. </w:t>
      </w:r>
      <w:r w:rsidR="0066518D"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Більшість економік, які запровадили ІТ, є такими, що розвиваються, та з різним ступенем економічного розвитку. </w:t>
      </w:r>
      <w:r w:rsidR="002E4F15"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Світовий досвід свідчить, що </w:t>
      </w:r>
      <w:r w:rsidR="0066518D" w:rsidRPr="004027E6">
        <w:rPr>
          <w:rFonts w:ascii="Times New Roman" w:hAnsi="Times New Roman" w:cs="Times New Roman"/>
          <w:sz w:val="24"/>
          <w:szCs w:val="24"/>
          <w:lang w:val="uk-UA"/>
        </w:rPr>
        <w:t>жодна країна не відмовилася від ІТ за 27 років його існування у світі</w:t>
      </w:r>
      <w:r w:rsidR="00513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18D" w:rsidRPr="004027E6">
        <w:rPr>
          <w:rFonts w:ascii="Times New Roman" w:hAnsi="Times New Roman" w:cs="Times New Roman"/>
          <w:sz w:val="24"/>
          <w:szCs w:val="24"/>
          <w:lang w:val="uk-UA"/>
        </w:rPr>
        <w:t>(за винятком Іспанії та Фінляндії, які у</w:t>
      </w:r>
      <w:r w:rsidR="00513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18D"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1999 р. увійшли до </w:t>
      </w:r>
      <w:proofErr w:type="spellStart"/>
      <w:r w:rsidR="0066518D" w:rsidRPr="004027E6">
        <w:rPr>
          <w:rFonts w:ascii="Times New Roman" w:hAnsi="Times New Roman" w:cs="Times New Roman"/>
          <w:sz w:val="24"/>
          <w:szCs w:val="24"/>
          <w:lang w:val="uk-UA"/>
        </w:rPr>
        <w:t>єврозони</w:t>
      </w:r>
      <w:proofErr w:type="spellEnd"/>
      <w:r w:rsidR="0066518D" w:rsidRPr="004027E6">
        <w:rPr>
          <w:rFonts w:ascii="Times New Roman" w:hAnsi="Times New Roman" w:cs="Times New Roman"/>
          <w:sz w:val="24"/>
          <w:szCs w:val="24"/>
          <w:lang w:val="uk-UA"/>
        </w:rPr>
        <w:t>), а кількість таких країн невпинно зростає.</w:t>
      </w:r>
      <w:r w:rsidR="00513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18D"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Міжнародна статистика показує, що країни із ІТ у середньому мають нижчу інфляцію та вищі темпи зростання, ніж країни </w:t>
      </w:r>
      <w:r w:rsidR="00513117">
        <w:rPr>
          <w:rFonts w:ascii="Times New Roman" w:hAnsi="Times New Roman" w:cs="Times New Roman"/>
          <w:sz w:val="24"/>
          <w:szCs w:val="24"/>
          <w:lang w:val="uk-UA"/>
        </w:rPr>
        <w:t>із іншими монетарними режимами.</w:t>
      </w:r>
    </w:p>
    <w:p w:rsidR="004A3263" w:rsidRPr="004027E6" w:rsidRDefault="009210C5" w:rsidP="00DA59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Згідно </w:t>
      </w:r>
      <w:r w:rsidR="00C151D5">
        <w:rPr>
          <w:rFonts w:ascii="Times New Roman" w:hAnsi="Times New Roman" w:cs="Times New Roman"/>
          <w:sz w:val="24"/>
          <w:szCs w:val="24"/>
          <w:lang w:val="uk-UA"/>
        </w:rPr>
        <w:t>«</w:t>
      </w:r>
      <w:hyperlink r:id="rId4" w:tgtFrame="_blank" w:history="1">
        <w:r w:rsidRPr="004027E6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uk-UA"/>
          </w:rPr>
          <w:t>Основних засад грошово-кредитної політики</w:t>
        </w:r>
      </w:hyperlink>
      <w:r w:rsidR="005131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 2017</w:t>
      </w:r>
      <w:r w:rsidR="005131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C8197C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C151D5" w:rsidRPr="00C151D5">
        <w:rPr>
          <w:rFonts w:ascii="Lora-Bold" w:hAnsi="Lora-Bold"/>
          <w:color w:val="3A4A59"/>
          <w:sz w:val="33"/>
          <w:szCs w:val="33"/>
          <w:shd w:val="clear" w:color="auto" w:fill="FFFFFF"/>
        </w:rPr>
        <w:t xml:space="preserve"> </w:t>
      </w:r>
      <w:r w:rsidR="00C151D5" w:rsidRPr="00C151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</w:t>
      </w:r>
      <w:r w:rsidR="00C151D5" w:rsidRPr="00C15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C151D5" w:rsidRPr="00C151D5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середньострокову</w:t>
      </w:r>
      <w:proofErr w:type="spellEnd"/>
      <w:r w:rsidR="00C151D5" w:rsidRPr="00C15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перспективу</w:t>
      </w:r>
      <w:r w:rsidR="00C151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</w:t>
      </w:r>
      <w:r w:rsidRPr="00C151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НБУ </w:t>
      </w:r>
      <w:r w:rsidR="00D92EEC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розглядав цільовий орієнтир</w:t>
      </w:r>
      <w:r w:rsidR="00121A8B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споживчих цін на </w:t>
      </w:r>
      <w:r w:rsidR="00121A8B" w:rsidRPr="004027E6">
        <w:rPr>
          <w:rFonts w:ascii="Times New Roman" w:hAnsi="Times New Roman" w:cs="Times New Roman"/>
          <w:lang w:val="uk-UA"/>
        </w:rPr>
        <w:t xml:space="preserve"> рівні 8% ± 2 п. п.</w:t>
      </w:r>
      <w:r w:rsidR="003617E2" w:rsidRPr="004027E6">
        <w:rPr>
          <w:rFonts w:ascii="Times New Roman" w:hAnsi="Times New Roman" w:cs="Times New Roman"/>
          <w:lang w:val="uk-UA"/>
        </w:rPr>
        <w:t xml:space="preserve"> </w:t>
      </w:r>
      <w:r w:rsidR="00B441E4" w:rsidRPr="004027E6">
        <w:rPr>
          <w:rFonts w:ascii="Times New Roman" w:hAnsi="Times New Roman" w:cs="Times New Roman"/>
          <w:sz w:val="24"/>
          <w:szCs w:val="24"/>
          <w:lang w:val="uk-UA"/>
        </w:rPr>
        <w:t>[3]</w:t>
      </w:r>
      <w:r w:rsidR="00B441E4" w:rsidRPr="004027E6">
        <w:rPr>
          <w:sz w:val="24"/>
          <w:szCs w:val="24"/>
          <w:lang w:val="uk-UA"/>
        </w:rPr>
        <w:t xml:space="preserve">. </w:t>
      </w:r>
      <w:r w:rsidR="00B441E4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617E2" w:rsidRPr="004027E6">
        <w:rPr>
          <w:rFonts w:ascii="Times New Roman" w:hAnsi="Times New Roman" w:cs="Times New Roman"/>
          <w:lang w:val="uk-UA"/>
        </w:rPr>
        <w:t xml:space="preserve">Але, </w:t>
      </w:r>
      <w:r w:rsidR="004A3263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згідно з даними Держ</w:t>
      </w:r>
      <w:r w:rsidR="00A24763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ком</w:t>
      </w:r>
      <w:r w:rsidR="004A3263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стату, тільки за червень</w:t>
      </w:r>
      <w:r w:rsidR="005131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2017 року</w:t>
      </w:r>
      <w:r w:rsidR="004A3263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ціни на фрукти підвищилися на 13,5%, на овочі </w:t>
      </w:r>
      <w:r w:rsidR="00A24763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4A3263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16,4%, а загалом продукти хар</w:t>
      </w:r>
      <w:r w:rsidR="00C8197C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чування стали дорожчими на 3,3% </w:t>
      </w:r>
      <w:r w:rsidR="00C8197C" w:rsidRPr="004027E6">
        <w:rPr>
          <w:rFonts w:ascii="Times New Roman" w:hAnsi="Times New Roman" w:cs="Times New Roman"/>
          <w:sz w:val="24"/>
          <w:szCs w:val="24"/>
          <w:lang w:val="uk-UA"/>
        </w:rPr>
        <w:t>[</w:t>
      </w:r>
      <w:r w:rsidR="00B441E4" w:rsidRPr="004027E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8197C" w:rsidRPr="004027E6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C8197C" w:rsidRPr="004027E6">
        <w:rPr>
          <w:sz w:val="24"/>
          <w:szCs w:val="24"/>
          <w:lang w:val="uk-UA"/>
        </w:rPr>
        <w:t>.</w:t>
      </w:r>
      <w:r w:rsidR="004A3263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Як наслідок, такий ціновий </w:t>
      </w:r>
      <w:r w:rsidR="0006727C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стрибок </w:t>
      </w:r>
      <w:r w:rsidR="004A3263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ринку харчових продуктів істотно знизив імовірність того, що інфляція наприкінці року становитиме близько 8% (8+2/-2 </w:t>
      </w:r>
      <w:proofErr w:type="spellStart"/>
      <w:r w:rsidR="004A3263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п.</w:t>
      </w:r>
      <w:r w:rsidR="003617E2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proofErr w:type="spellEnd"/>
      <w:r w:rsidR="003617E2" w:rsidRPr="004027E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.).</w:t>
      </w:r>
      <w:r w:rsidR="00F86036" w:rsidRPr="004027E6">
        <w:rPr>
          <w:color w:val="383A3C"/>
          <w:sz w:val="30"/>
          <w:szCs w:val="30"/>
          <w:shd w:val="clear" w:color="auto" w:fill="FFFFFF"/>
          <w:lang w:val="uk-UA"/>
        </w:rPr>
        <w:t xml:space="preserve"> </w:t>
      </w:r>
    </w:p>
    <w:p w:rsidR="00847D70" w:rsidRPr="004027E6" w:rsidRDefault="003617E2" w:rsidP="00847D70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rFonts w:ascii="Lora-Regular" w:hAnsi="Lora-Regular"/>
          <w:lang w:val="uk-UA"/>
        </w:rPr>
      </w:pPr>
      <w:r w:rsidRPr="004027E6">
        <w:rPr>
          <w:rFonts w:ascii="Lora-Regular" w:hAnsi="Lora-Regular"/>
          <w:lang w:val="uk-UA"/>
        </w:rPr>
        <w:t>М</w:t>
      </w:r>
      <w:r w:rsidR="00847D70" w:rsidRPr="004027E6">
        <w:rPr>
          <w:rFonts w:ascii="Lora-Regular" w:hAnsi="Lora-Regular"/>
          <w:lang w:val="uk-UA"/>
        </w:rPr>
        <w:t xml:space="preserve">іжнародний досвід країн, центральні банки яких вважаються успішними в проведенні монетарної політики при режимі ІТ, </w:t>
      </w:r>
      <w:r w:rsidR="007C1F8D" w:rsidRPr="004027E6">
        <w:rPr>
          <w:rFonts w:ascii="Lora-Regular" w:hAnsi="Lora-Regular"/>
          <w:lang w:val="uk-UA"/>
        </w:rPr>
        <w:t>свідчить</w:t>
      </w:r>
      <w:r w:rsidR="00847D70" w:rsidRPr="004027E6">
        <w:rPr>
          <w:rFonts w:ascii="Lora-Regular" w:hAnsi="Lora-Regular"/>
          <w:lang w:val="uk-UA"/>
        </w:rPr>
        <w:t xml:space="preserve">, що вони теж </w:t>
      </w:r>
      <w:r w:rsidR="007C1F8D" w:rsidRPr="004027E6">
        <w:rPr>
          <w:lang w:val="uk-UA"/>
        </w:rPr>
        <w:t>не завжди дотримуються сво</w:t>
      </w:r>
      <w:r w:rsidR="00907CDA" w:rsidRPr="004027E6">
        <w:rPr>
          <w:lang w:val="uk-UA"/>
        </w:rPr>
        <w:t>єї</w:t>
      </w:r>
      <w:r w:rsidR="007C1F8D" w:rsidRPr="004027E6">
        <w:rPr>
          <w:lang w:val="uk-UA"/>
        </w:rPr>
        <w:t xml:space="preserve"> цілі</w:t>
      </w:r>
      <w:r w:rsidR="00907CDA" w:rsidRPr="004027E6">
        <w:rPr>
          <w:rFonts w:ascii="Lora-Regular" w:hAnsi="Lora-Regular"/>
          <w:lang w:val="uk-UA"/>
        </w:rPr>
        <w:t>.</w:t>
      </w:r>
      <w:r w:rsidR="00847D70" w:rsidRPr="004027E6">
        <w:rPr>
          <w:rFonts w:ascii="Lora-Regular" w:hAnsi="Lora-Regular"/>
          <w:lang w:val="uk-UA"/>
        </w:rPr>
        <w:t xml:space="preserve"> Наприклад, Чеський національний банк (ЧНБ), що вважається одним із найуспішніших </w:t>
      </w:r>
      <w:r w:rsidR="007422A0" w:rsidRPr="004027E6">
        <w:rPr>
          <w:rFonts w:ascii="Lora-Regular" w:hAnsi="Lora-Regular"/>
          <w:lang w:val="uk-UA"/>
        </w:rPr>
        <w:t>«</w:t>
      </w:r>
      <w:proofErr w:type="spellStart"/>
      <w:r w:rsidR="00847D70" w:rsidRPr="004027E6">
        <w:rPr>
          <w:rFonts w:ascii="Lora-Regular" w:hAnsi="Lora-Regular"/>
          <w:lang w:val="uk-UA"/>
        </w:rPr>
        <w:t>таргетерів</w:t>
      </w:r>
      <w:proofErr w:type="spellEnd"/>
      <w:r w:rsidR="007422A0" w:rsidRPr="004027E6">
        <w:rPr>
          <w:rFonts w:ascii="Lora-Regular" w:hAnsi="Lora-Regular"/>
          <w:lang w:val="uk-UA"/>
        </w:rPr>
        <w:t>»</w:t>
      </w:r>
      <w:r w:rsidR="00847D70" w:rsidRPr="004027E6">
        <w:rPr>
          <w:rFonts w:ascii="Lora-Regular" w:hAnsi="Lora-Regular"/>
          <w:lang w:val="uk-UA"/>
        </w:rPr>
        <w:t xml:space="preserve"> інфляції, утримував її рівень у проголошеному коридорі лише в окремі проміжки впродовж 20-річного періоду існування ІТ у цій країні. В останнє десятиліття інфляція коливалася в інтервалі від 0 до 8%, при тому, що ціль спочатку була 3, а потім 2% на рік. Більш уважний погляд на інфляційні процеси в </w:t>
      </w:r>
      <w:r w:rsidR="00847D70" w:rsidRPr="004027E6">
        <w:rPr>
          <w:rFonts w:ascii="Lora-Regular" w:hAnsi="Lora-Regular"/>
          <w:lang w:val="uk-UA"/>
        </w:rPr>
        <w:lastRenderedPageBreak/>
        <w:t>Чехії показує, що після цінових шоків пропозиції, навіть досить значних, інфляція впродовж досить короткого часу поверталася в заявлений коридор.</w:t>
      </w:r>
    </w:p>
    <w:p w:rsidR="00847D70" w:rsidRPr="004027E6" w:rsidRDefault="00847D70" w:rsidP="00847D70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rFonts w:ascii="Lora-Regular" w:hAnsi="Lora-Regular"/>
          <w:lang w:val="uk-UA"/>
        </w:rPr>
      </w:pPr>
      <w:r w:rsidRPr="004027E6">
        <w:rPr>
          <w:rStyle w:val="a6"/>
          <w:rFonts w:ascii="Lora-Regular" w:hAnsi="Lora-Regular"/>
          <w:b w:val="0"/>
          <w:lang w:val="uk-UA"/>
        </w:rPr>
        <w:t>Чеська економіка</w:t>
      </w:r>
      <w:r w:rsidR="00B5738B" w:rsidRPr="004027E6">
        <w:rPr>
          <w:rStyle w:val="a6"/>
          <w:rFonts w:ascii="Lora-Regular" w:hAnsi="Lora-Regular"/>
          <w:b w:val="0"/>
          <w:lang w:val="uk-UA"/>
        </w:rPr>
        <w:t>,</w:t>
      </w:r>
      <w:r w:rsidRPr="004027E6">
        <w:rPr>
          <w:rStyle w:val="a6"/>
          <w:rFonts w:ascii="Lora-Regular" w:hAnsi="Lora-Regular"/>
          <w:b w:val="0"/>
          <w:lang w:val="uk-UA"/>
        </w:rPr>
        <w:t xml:space="preserve"> як і українська</w:t>
      </w:r>
      <w:r w:rsidR="00817768">
        <w:rPr>
          <w:rStyle w:val="a6"/>
          <w:rFonts w:ascii="Lora-Regular" w:hAnsi="Lora-Regular"/>
          <w:b w:val="0"/>
          <w:lang w:val="uk-UA"/>
        </w:rPr>
        <w:t>,</w:t>
      </w:r>
      <w:r w:rsidR="00B5738B" w:rsidRPr="004027E6">
        <w:rPr>
          <w:rStyle w:val="a6"/>
          <w:rFonts w:ascii="Lora-Regular" w:hAnsi="Lora-Regular"/>
          <w:b w:val="0"/>
          <w:lang w:val="uk-UA"/>
        </w:rPr>
        <w:t xml:space="preserve"> </w:t>
      </w:r>
      <w:r w:rsidRPr="004027E6">
        <w:rPr>
          <w:rStyle w:val="a6"/>
          <w:rFonts w:ascii="Lora-Regular" w:hAnsi="Lora-Regular"/>
          <w:b w:val="0"/>
          <w:lang w:val="uk-UA"/>
        </w:rPr>
        <w:t>є малою й відкритою, тому, природно, постійно потерпає від цінових шоків пропозиції як на світових ринках, так і всередині країни.</w:t>
      </w:r>
      <w:r w:rsidR="00513117">
        <w:rPr>
          <w:rStyle w:val="a6"/>
          <w:rFonts w:ascii="Lora-Regular" w:hAnsi="Lora-Regular"/>
          <w:b w:val="0"/>
          <w:lang w:val="uk-UA"/>
        </w:rPr>
        <w:t xml:space="preserve"> </w:t>
      </w:r>
      <w:r w:rsidRPr="004027E6">
        <w:rPr>
          <w:rFonts w:ascii="Lora-Regular" w:hAnsi="Lora-Regular"/>
          <w:lang w:val="uk-UA"/>
        </w:rPr>
        <w:t>Однак</w:t>
      </w:r>
      <w:r w:rsidR="004D5875">
        <w:rPr>
          <w:rFonts w:ascii="Lora-Regular" w:hAnsi="Lora-Regular"/>
          <w:lang w:val="uk-UA"/>
        </w:rPr>
        <w:t>,</w:t>
      </w:r>
      <w:r w:rsidRPr="004027E6">
        <w:rPr>
          <w:rFonts w:ascii="Lora-Regular" w:hAnsi="Lora-Regular"/>
          <w:lang w:val="uk-UA"/>
        </w:rPr>
        <w:t xml:space="preserve"> такі цінові шоки не чинили стійкого ефекту</w:t>
      </w:r>
      <w:r w:rsidR="004D5875">
        <w:rPr>
          <w:rFonts w:ascii="Lora-Regular" w:hAnsi="Lora-Regular"/>
          <w:lang w:val="uk-UA"/>
        </w:rPr>
        <w:t xml:space="preserve"> на подальший розвиток інфляції</w:t>
      </w:r>
      <w:r w:rsidRPr="004027E6">
        <w:rPr>
          <w:rFonts w:ascii="Lora-Regular" w:hAnsi="Lora-Regular"/>
          <w:lang w:val="uk-UA"/>
        </w:rPr>
        <w:t xml:space="preserve"> і сплеск цін припинявся відразу після закінчення дії інфляційного фактора. </w:t>
      </w:r>
      <w:r w:rsidR="004D5875">
        <w:rPr>
          <w:rFonts w:ascii="Lora-Regular" w:hAnsi="Lora-Regular"/>
          <w:lang w:val="uk-UA"/>
        </w:rPr>
        <w:t>Проте,</w:t>
      </w:r>
      <w:r w:rsidR="00D4492B" w:rsidRPr="004027E6">
        <w:rPr>
          <w:rFonts w:ascii="Lora-Regular" w:hAnsi="Lora-Regular"/>
          <w:lang w:val="uk-UA"/>
        </w:rPr>
        <w:t xml:space="preserve"> </w:t>
      </w:r>
      <w:r w:rsidRPr="004027E6">
        <w:rPr>
          <w:rFonts w:ascii="Lora-Regular" w:hAnsi="Lora-Regular"/>
          <w:lang w:val="uk-UA"/>
        </w:rPr>
        <w:t xml:space="preserve">Чеський центробанк організував досконалу систему комунікації з чеським суспільством, з допомогою якої він часто й регулярно пояснює причини цінових сплесків і відповідні коригування в монетарній політиці, необхідні для повернення в цільові параметри. При цьому його монетарна політика в рамках режиму ІТ є досить гнучкою: банк не </w:t>
      </w:r>
      <w:r w:rsidR="00513117" w:rsidRPr="004027E6">
        <w:rPr>
          <w:rFonts w:ascii="Lora-Regular" w:hAnsi="Lora-Regular"/>
          <w:lang w:val="uk-UA"/>
        </w:rPr>
        <w:t>обов’язков</w:t>
      </w:r>
      <w:r w:rsidR="00513117" w:rsidRPr="004027E6">
        <w:rPr>
          <w:rFonts w:ascii="Lora-Regular" w:hAnsi="Lora-Regular" w:hint="eastAsia"/>
          <w:lang w:val="uk-UA"/>
        </w:rPr>
        <w:t>а</w:t>
      </w:r>
      <w:r w:rsidRPr="004027E6">
        <w:rPr>
          <w:rFonts w:ascii="Lora-Regular" w:hAnsi="Lora-Regular"/>
          <w:lang w:val="uk-UA"/>
        </w:rPr>
        <w:t xml:space="preserve"> намагається негайно посилити або послабити монетарну політику, а дає можливість економіці поступово ввійти в </w:t>
      </w:r>
      <w:r w:rsidR="00D4492B" w:rsidRPr="004027E6">
        <w:rPr>
          <w:rFonts w:ascii="Lora-Regular" w:hAnsi="Lora-Regular"/>
          <w:lang w:val="uk-UA"/>
        </w:rPr>
        <w:t>«</w:t>
      </w:r>
      <w:r w:rsidRPr="004027E6">
        <w:rPr>
          <w:rFonts w:ascii="Lora-Regular" w:hAnsi="Lora-Regular"/>
          <w:lang w:val="uk-UA"/>
        </w:rPr>
        <w:t>інфляційну колію</w:t>
      </w:r>
      <w:r w:rsidR="00D4492B" w:rsidRPr="004027E6">
        <w:rPr>
          <w:rFonts w:ascii="Lora-Regular" w:hAnsi="Lora-Regular"/>
          <w:lang w:val="uk-UA"/>
        </w:rPr>
        <w:t>»</w:t>
      </w:r>
      <w:r w:rsidRPr="004027E6">
        <w:rPr>
          <w:rFonts w:ascii="Lora-Regular" w:hAnsi="Lora-Regular"/>
          <w:lang w:val="uk-UA"/>
        </w:rPr>
        <w:t>, уникаючи різкого впливу на економічний цикл відсотковою ставкою. Досконала система комунікацій дозволила створити атмосферу довіри чехів до цілей і ді</w:t>
      </w:r>
      <w:r w:rsidR="00513117">
        <w:rPr>
          <w:rFonts w:ascii="Lora-Regular" w:hAnsi="Lora-Regular"/>
          <w:lang w:val="uk-UA"/>
        </w:rPr>
        <w:t>й свого центрального банку. Суб</w:t>
      </w:r>
      <w:r w:rsidR="00513117" w:rsidRPr="004027E6">
        <w:rPr>
          <w:rFonts w:ascii="Lora-Regular" w:hAnsi="Lora-Regular"/>
          <w:lang w:val="uk-UA"/>
        </w:rPr>
        <w:t>’єкт</w:t>
      </w:r>
      <w:r w:rsidR="00513117" w:rsidRPr="004027E6">
        <w:rPr>
          <w:rFonts w:ascii="Lora-Regular" w:hAnsi="Lora-Regular" w:hint="eastAsia"/>
          <w:lang w:val="uk-UA"/>
        </w:rPr>
        <w:t>и</w:t>
      </w:r>
      <w:r w:rsidRPr="004027E6">
        <w:rPr>
          <w:rFonts w:ascii="Lora-Regular" w:hAnsi="Lora-Regular"/>
          <w:lang w:val="uk-UA"/>
        </w:rPr>
        <w:t xml:space="preserve"> економіки, навіть якщо вони не завжди згодні з правильністю суджень ЧНБ, завжди добре поінформовані про його подальшу політику. Тому вони приймають свої бізнес-рішення відповідно до отриманої від нього інформації про </w:t>
      </w:r>
      <w:r w:rsidR="004D5875">
        <w:rPr>
          <w:rFonts w:ascii="Lora-Regular" w:hAnsi="Lora-Regular"/>
          <w:lang w:val="uk-UA"/>
        </w:rPr>
        <w:t xml:space="preserve">природу того або іншого шоку. Вони </w:t>
      </w:r>
      <w:r w:rsidRPr="004027E6">
        <w:rPr>
          <w:rFonts w:ascii="Lora-Regular" w:hAnsi="Lora-Regular"/>
          <w:lang w:val="uk-UA"/>
        </w:rPr>
        <w:t>вчасно сповіщені, що банк збирається зробити, щоб відновити інфляційне статус-кво та мінімізувати витрати для економіки</w:t>
      </w:r>
      <w:r w:rsidR="000B05A8" w:rsidRPr="004027E6">
        <w:rPr>
          <w:rFonts w:ascii="Lora-Regular" w:hAnsi="Lora-Regular"/>
          <w:lang w:val="uk-UA"/>
        </w:rPr>
        <w:t xml:space="preserve"> </w:t>
      </w:r>
      <w:r w:rsidR="000B05A8" w:rsidRPr="004027E6">
        <w:rPr>
          <w:lang w:val="uk-UA"/>
        </w:rPr>
        <w:t>[5].</w:t>
      </w:r>
    </w:p>
    <w:p w:rsidR="004F1875" w:rsidRPr="004027E6" w:rsidRDefault="004F1875" w:rsidP="00027187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rFonts w:ascii="Lora-Regular" w:hAnsi="Lora-Regular"/>
          <w:lang w:val="uk-UA"/>
        </w:rPr>
      </w:pPr>
      <w:r w:rsidRPr="004027E6">
        <w:rPr>
          <w:rStyle w:val="a6"/>
          <w:rFonts w:ascii="Lora-Regular" w:hAnsi="Lora-Regular"/>
          <w:b w:val="0"/>
          <w:lang w:val="uk-UA"/>
        </w:rPr>
        <w:t xml:space="preserve">Інші показові приклади ІТ </w:t>
      </w:r>
      <w:r w:rsidR="00426EB4" w:rsidRPr="004027E6">
        <w:rPr>
          <w:rStyle w:val="a6"/>
          <w:rFonts w:ascii="Lora-Regular" w:hAnsi="Lora-Regular"/>
          <w:b w:val="0"/>
          <w:lang w:val="uk-UA"/>
        </w:rPr>
        <w:t>–</w:t>
      </w:r>
      <w:r w:rsidRPr="004027E6">
        <w:rPr>
          <w:rStyle w:val="a6"/>
          <w:rFonts w:ascii="Lora-Regular" w:hAnsi="Lora-Regular"/>
          <w:b w:val="0"/>
          <w:lang w:val="uk-UA"/>
        </w:rPr>
        <w:t xml:space="preserve"> центральні банки Мексики та Туреччини.</w:t>
      </w:r>
      <w:r w:rsidR="00513117">
        <w:rPr>
          <w:rFonts w:ascii="Lora-Regular" w:hAnsi="Lora-Regular"/>
          <w:lang w:val="uk-UA"/>
        </w:rPr>
        <w:t xml:space="preserve"> </w:t>
      </w:r>
      <w:r w:rsidRPr="004027E6">
        <w:rPr>
          <w:rFonts w:ascii="Lora-Regular" w:hAnsi="Lora-Regular"/>
          <w:lang w:val="uk-UA"/>
        </w:rPr>
        <w:t>Наприклад, банк Мексики досить швидко приборкав інфляцію при переході до ІТ після кризи 1994</w:t>
      </w:r>
      <w:r w:rsidR="00513117">
        <w:rPr>
          <w:rFonts w:ascii="Lora-Regular" w:hAnsi="Lora-Regular"/>
          <w:lang w:val="uk-UA"/>
        </w:rPr>
        <w:t xml:space="preserve"> </w:t>
      </w:r>
      <w:r w:rsidRPr="004027E6">
        <w:rPr>
          <w:rFonts w:ascii="Lora-Regular" w:hAnsi="Lora-Regular"/>
          <w:lang w:val="uk-UA"/>
        </w:rPr>
        <w:t>–</w:t>
      </w:r>
      <w:r w:rsidR="00513117">
        <w:rPr>
          <w:rFonts w:ascii="Lora-Regular" w:hAnsi="Lora-Regular"/>
          <w:lang w:val="uk-UA"/>
        </w:rPr>
        <w:t xml:space="preserve"> </w:t>
      </w:r>
      <w:r w:rsidRPr="004027E6">
        <w:rPr>
          <w:rFonts w:ascii="Lora-Regular" w:hAnsi="Lora-Regular"/>
          <w:lang w:val="uk-UA"/>
        </w:rPr>
        <w:t>1995 рр. з більш як 50% у 1995-му до 15% у 1997-му, але потім прогрес у доведенні інфляції до цільового рівня розтягнувся на багато років, коли реальна інфляція, як правило, перевищувала ціль. Однак</w:t>
      </w:r>
      <w:r w:rsidR="004D5875">
        <w:rPr>
          <w:rFonts w:ascii="Lora-Regular" w:hAnsi="Lora-Regular"/>
          <w:lang w:val="uk-UA"/>
        </w:rPr>
        <w:t>,</w:t>
      </w:r>
      <w:r w:rsidRPr="004027E6">
        <w:rPr>
          <w:rFonts w:ascii="Lora-Regular" w:hAnsi="Lora-Regular"/>
          <w:lang w:val="uk-UA"/>
        </w:rPr>
        <w:t xml:space="preserve"> мексиканський центробанк терпляче полі</w:t>
      </w:r>
      <w:r w:rsidR="004D5875">
        <w:rPr>
          <w:rFonts w:ascii="Lora-Regular" w:hAnsi="Lora-Regular"/>
          <w:lang w:val="uk-UA"/>
        </w:rPr>
        <w:t xml:space="preserve">пшував довіру через комунікації </w:t>
      </w:r>
      <w:r w:rsidRPr="004027E6">
        <w:rPr>
          <w:rFonts w:ascii="Lora-Regular" w:hAnsi="Lora-Regular"/>
          <w:lang w:val="uk-UA"/>
        </w:rPr>
        <w:t xml:space="preserve"> і нарешті останні два роки </w:t>
      </w:r>
      <w:r w:rsidR="00426EB4" w:rsidRPr="004027E6">
        <w:rPr>
          <w:rFonts w:ascii="Lora-Regular" w:hAnsi="Lora-Regular"/>
          <w:lang w:val="uk-UA"/>
        </w:rPr>
        <w:t>–</w:t>
      </w:r>
      <w:r w:rsidRPr="004027E6">
        <w:rPr>
          <w:rFonts w:ascii="Lora-Regular" w:hAnsi="Lora-Regular"/>
          <w:lang w:val="uk-UA"/>
        </w:rPr>
        <w:t xml:space="preserve"> 2015-й та 2016-й </w:t>
      </w:r>
      <w:r w:rsidR="00426EB4" w:rsidRPr="004027E6">
        <w:rPr>
          <w:rFonts w:ascii="Lora-Regular" w:hAnsi="Lora-Regular"/>
          <w:lang w:val="uk-UA"/>
        </w:rPr>
        <w:t>–</w:t>
      </w:r>
      <w:r w:rsidRPr="004027E6">
        <w:rPr>
          <w:rFonts w:ascii="Lora-Regular" w:hAnsi="Lora-Regular"/>
          <w:lang w:val="uk-UA"/>
        </w:rPr>
        <w:t xml:space="preserve"> як інфляція, так й інфляційні очікування почали перебувати у вузькому цільовому коридорі 3(+1/-1)%.</w:t>
      </w:r>
    </w:p>
    <w:p w:rsidR="000B05A8" w:rsidRPr="004027E6" w:rsidRDefault="004F1875" w:rsidP="000B05A8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rFonts w:ascii="Lora-Regular" w:hAnsi="Lora-Regular"/>
          <w:lang w:val="uk-UA"/>
        </w:rPr>
      </w:pPr>
      <w:r w:rsidRPr="004027E6">
        <w:rPr>
          <w:rStyle w:val="a6"/>
          <w:rFonts w:ascii="Lora-Regular" w:hAnsi="Lora-Regular"/>
          <w:b w:val="0"/>
          <w:lang w:val="uk-UA"/>
        </w:rPr>
        <w:t>Центральний банк Туреччини також після запровадження ІТ у 2001 р. швидко приборкав інфляцію й привів її до однозначного рівня вже 2004-го</w:t>
      </w:r>
      <w:r w:rsidRPr="004027E6">
        <w:rPr>
          <w:rFonts w:ascii="Lora-Regular" w:hAnsi="Lora-Regular"/>
          <w:b/>
          <w:lang w:val="uk-UA"/>
        </w:rPr>
        <w:t> </w:t>
      </w:r>
      <w:r w:rsidRPr="004027E6">
        <w:rPr>
          <w:rFonts w:ascii="Lora-Regular" w:hAnsi="Lora-Regular"/>
          <w:lang w:val="uk-UA"/>
        </w:rPr>
        <w:t xml:space="preserve">(з колишніх рівнів близько 60%). </w:t>
      </w:r>
      <w:r w:rsidR="0075015E">
        <w:rPr>
          <w:rFonts w:ascii="Lora-Regular" w:hAnsi="Lora-Regular"/>
          <w:lang w:val="uk-UA"/>
        </w:rPr>
        <w:t>У</w:t>
      </w:r>
      <w:r w:rsidRPr="004027E6">
        <w:rPr>
          <w:rFonts w:ascii="Lora-Regular" w:hAnsi="Lora-Regular"/>
          <w:lang w:val="uk-UA"/>
        </w:rPr>
        <w:t xml:space="preserve"> наступний період часу фактична інфляція, як правило, перевищувала цільовий показник у 4%. Але, на відміну від </w:t>
      </w:r>
      <w:r w:rsidR="00513117">
        <w:rPr>
          <w:rFonts w:ascii="Lora-Regular" w:hAnsi="Lora-Regular"/>
          <w:lang w:val="uk-UA"/>
        </w:rPr>
        <w:t>Центрального Банку Мексики</w:t>
      </w:r>
      <w:r w:rsidRPr="004027E6">
        <w:rPr>
          <w:rFonts w:ascii="Lora-Regular" w:hAnsi="Lora-Regular"/>
          <w:lang w:val="uk-UA"/>
        </w:rPr>
        <w:t>, Турецький цент</w:t>
      </w:r>
      <w:r w:rsidR="004D5875">
        <w:rPr>
          <w:rFonts w:ascii="Lora-Regular" w:hAnsi="Lora-Regular"/>
          <w:lang w:val="uk-UA"/>
        </w:rPr>
        <w:t xml:space="preserve">робанк вирішив збільшити </w:t>
      </w:r>
      <w:proofErr w:type="spellStart"/>
      <w:r w:rsidR="004D5875">
        <w:rPr>
          <w:rFonts w:ascii="Lora-Regular" w:hAnsi="Lora-Regular"/>
          <w:lang w:val="uk-UA"/>
        </w:rPr>
        <w:t>таргет</w:t>
      </w:r>
      <w:proofErr w:type="spellEnd"/>
      <w:r w:rsidR="004D5875">
        <w:rPr>
          <w:rFonts w:ascii="Lora-Regular" w:hAnsi="Lora-Regular"/>
          <w:lang w:val="uk-UA"/>
        </w:rPr>
        <w:t xml:space="preserve"> і</w:t>
      </w:r>
      <w:r w:rsidRPr="004027E6">
        <w:rPr>
          <w:rFonts w:ascii="Lora-Regular" w:hAnsi="Lora-Regular"/>
          <w:lang w:val="uk-UA"/>
        </w:rPr>
        <w:t xml:space="preserve"> замість очікуваного поліпшення ситуації із </w:t>
      </w:r>
      <w:r w:rsidR="00AA475F">
        <w:rPr>
          <w:rFonts w:ascii="Lora-Regular" w:hAnsi="Lora-Regular"/>
          <w:lang w:val="uk-UA"/>
        </w:rPr>
        <w:t>«</w:t>
      </w:r>
      <w:r w:rsidRPr="004027E6">
        <w:rPr>
          <w:rFonts w:ascii="Lora-Regular" w:hAnsi="Lora-Regular"/>
          <w:lang w:val="uk-UA"/>
        </w:rPr>
        <w:t>влученням</w:t>
      </w:r>
      <w:r w:rsidR="00AA475F">
        <w:rPr>
          <w:rFonts w:ascii="Lora-Regular" w:hAnsi="Lora-Regular"/>
          <w:lang w:val="uk-UA"/>
        </w:rPr>
        <w:t>»</w:t>
      </w:r>
      <w:r w:rsidRPr="004027E6">
        <w:rPr>
          <w:rFonts w:ascii="Lora-Regular" w:hAnsi="Lora-Regular"/>
          <w:lang w:val="uk-UA"/>
        </w:rPr>
        <w:t xml:space="preserve"> у цільові параметри та, відповідно, підвищенням довіри</w:t>
      </w:r>
      <w:r w:rsidR="004D5875">
        <w:rPr>
          <w:rFonts w:ascii="Lora-Regular" w:hAnsi="Lora-Regular"/>
          <w:lang w:val="uk-UA"/>
        </w:rPr>
        <w:t>,</w:t>
      </w:r>
      <w:r w:rsidRPr="004027E6">
        <w:rPr>
          <w:rFonts w:ascii="Lora-Regular" w:hAnsi="Lora-Regular"/>
          <w:lang w:val="uk-UA"/>
        </w:rPr>
        <w:t xml:space="preserve"> ефект виявився зворотним. Загальний рівень інфляції в країні зріс разом із цільовим показником та, як і раніше, продовжував перевищувати ціль. Так,</w:t>
      </w:r>
      <w:r w:rsidR="004D5875">
        <w:rPr>
          <w:rFonts w:ascii="Lora-Regular" w:hAnsi="Lora-Regular"/>
          <w:lang w:val="uk-UA"/>
        </w:rPr>
        <w:t xml:space="preserve"> у</w:t>
      </w:r>
      <w:r w:rsidRPr="004027E6">
        <w:rPr>
          <w:rFonts w:ascii="Lora-Regular" w:hAnsi="Lora-Regular"/>
          <w:lang w:val="uk-UA"/>
        </w:rPr>
        <w:t xml:space="preserve"> 2012 р. при </w:t>
      </w:r>
      <w:proofErr w:type="spellStart"/>
      <w:r w:rsidRPr="004027E6">
        <w:rPr>
          <w:rFonts w:ascii="Lora-Regular" w:hAnsi="Lora-Regular"/>
          <w:lang w:val="uk-UA"/>
        </w:rPr>
        <w:t>таргеті</w:t>
      </w:r>
      <w:proofErr w:type="spellEnd"/>
      <w:r w:rsidRPr="004027E6">
        <w:rPr>
          <w:rFonts w:ascii="Lora-Regular" w:hAnsi="Lora-Regular"/>
          <w:lang w:val="uk-UA"/>
        </w:rPr>
        <w:t xml:space="preserve"> 5,5% інфляція перевищила 10%, а в наступні роки при </w:t>
      </w:r>
      <w:proofErr w:type="spellStart"/>
      <w:r w:rsidRPr="004027E6">
        <w:rPr>
          <w:rFonts w:ascii="Lora-Regular" w:hAnsi="Lora-Regular"/>
          <w:lang w:val="uk-UA"/>
        </w:rPr>
        <w:t>таргеті</w:t>
      </w:r>
      <w:proofErr w:type="spellEnd"/>
      <w:r w:rsidRPr="004027E6">
        <w:rPr>
          <w:rFonts w:ascii="Lora-Regular" w:hAnsi="Lora-Regular"/>
          <w:lang w:val="uk-UA"/>
        </w:rPr>
        <w:t xml:space="preserve"> 5% інфляція трималася близько до 8%. Водноча</w:t>
      </w:r>
      <w:r w:rsidR="004D5875">
        <w:rPr>
          <w:rFonts w:ascii="Lora-Regular" w:hAnsi="Lora-Regular"/>
          <w:lang w:val="uk-UA"/>
        </w:rPr>
        <w:t>с інфляційні очікування зросли і</w:t>
      </w:r>
      <w:r w:rsidRPr="004027E6">
        <w:rPr>
          <w:rFonts w:ascii="Lora-Regular" w:hAnsi="Lora-Regular"/>
          <w:lang w:val="uk-UA"/>
        </w:rPr>
        <w:t xml:space="preserve"> стали самі відігравати роль додаткового фактора майбутньої інфляції</w:t>
      </w:r>
      <w:r w:rsidR="000B05A8" w:rsidRPr="004027E6">
        <w:rPr>
          <w:rFonts w:ascii="Lora-Regular" w:hAnsi="Lora-Regular"/>
          <w:lang w:val="uk-UA"/>
        </w:rPr>
        <w:t xml:space="preserve"> </w:t>
      </w:r>
      <w:r w:rsidR="000B05A8" w:rsidRPr="004027E6">
        <w:rPr>
          <w:lang w:val="uk-UA"/>
        </w:rPr>
        <w:t xml:space="preserve">[5]. </w:t>
      </w:r>
      <w:r w:rsidR="000B05A8" w:rsidRPr="004027E6">
        <w:rPr>
          <w:shd w:val="clear" w:color="auto" w:fill="FFFFFF"/>
          <w:lang w:val="uk-UA"/>
        </w:rPr>
        <w:t xml:space="preserve"> </w:t>
      </w:r>
    </w:p>
    <w:p w:rsidR="004A3263" w:rsidRPr="004027E6" w:rsidRDefault="00FD1F62" w:rsidP="00FD1F62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rFonts w:ascii="Lora-Regular" w:hAnsi="Lora-Regular"/>
          <w:sz w:val="30"/>
          <w:szCs w:val="30"/>
          <w:shd w:val="clear" w:color="auto" w:fill="FFFFFF"/>
          <w:lang w:val="uk-UA"/>
        </w:rPr>
      </w:pPr>
      <w:r w:rsidRPr="004027E6">
        <w:rPr>
          <w:rFonts w:ascii="Lora-Regular" w:hAnsi="Lora-Regular"/>
          <w:lang w:val="uk-UA"/>
        </w:rPr>
        <w:t>Таким чином, н</w:t>
      </w:r>
      <w:r w:rsidRPr="004027E6">
        <w:rPr>
          <w:shd w:val="clear" w:color="auto" w:fill="FAFAFA"/>
          <w:lang w:val="uk-UA"/>
        </w:rPr>
        <w:t>а основі проведеного дослідження варто зазначити, що</w:t>
      </w:r>
      <w:r w:rsidR="007D7B7D" w:rsidRPr="004027E6">
        <w:rPr>
          <w:shd w:val="clear" w:color="auto" w:fill="FFFFFF"/>
          <w:lang w:val="uk-UA"/>
        </w:rPr>
        <w:t xml:space="preserve"> аналіз зарубіжного досвіду реалізації політики ІТ </w:t>
      </w:r>
      <w:r w:rsidR="00B75402" w:rsidRPr="004027E6">
        <w:rPr>
          <w:shd w:val="clear" w:color="auto" w:fill="FFFFFF"/>
          <w:lang w:val="uk-UA"/>
        </w:rPr>
        <w:t>дуже корисний для України</w:t>
      </w:r>
      <w:r w:rsidR="009217B8" w:rsidRPr="004027E6">
        <w:rPr>
          <w:shd w:val="clear" w:color="auto" w:fill="FFFFFF"/>
          <w:lang w:val="uk-UA"/>
        </w:rPr>
        <w:t>, оскільки</w:t>
      </w:r>
      <w:r w:rsidR="00B75402" w:rsidRPr="004027E6">
        <w:rPr>
          <w:shd w:val="clear" w:color="auto" w:fill="FFFFFF"/>
          <w:lang w:val="uk-UA"/>
        </w:rPr>
        <w:t xml:space="preserve"> </w:t>
      </w:r>
      <w:r w:rsidR="009217B8" w:rsidRPr="004027E6">
        <w:rPr>
          <w:shd w:val="clear" w:color="auto" w:fill="FFFFFF"/>
          <w:lang w:val="uk-UA"/>
        </w:rPr>
        <w:t>в</w:t>
      </w:r>
      <w:r w:rsidR="00B75402" w:rsidRPr="004027E6">
        <w:rPr>
          <w:rFonts w:ascii="Lora-Regular" w:hAnsi="Lora-Regular"/>
          <w:lang w:val="uk-UA"/>
        </w:rPr>
        <w:t xml:space="preserve">ін показує, що хоча досягнення цілі </w:t>
      </w:r>
      <w:r w:rsidR="00CA7872" w:rsidRPr="004027E6">
        <w:rPr>
          <w:rFonts w:ascii="Lora-Regular" w:hAnsi="Lora-Regular"/>
          <w:lang w:val="uk-UA"/>
        </w:rPr>
        <w:t>щодо зниження темпів інфляції</w:t>
      </w:r>
      <w:r w:rsidR="00B75402" w:rsidRPr="004027E6">
        <w:rPr>
          <w:rFonts w:ascii="Lora-Regular" w:hAnsi="Lora-Regular"/>
          <w:lang w:val="uk-UA"/>
        </w:rPr>
        <w:t xml:space="preserve"> </w:t>
      </w:r>
      <w:r w:rsidR="00CA7872" w:rsidRPr="004027E6">
        <w:rPr>
          <w:rFonts w:ascii="Lora-Regular" w:hAnsi="Lora-Regular"/>
          <w:lang w:val="uk-UA"/>
        </w:rPr>
        <w:t>–</w:t>
      </w:r>
      <w:r w:rsidR="00B75402" w:rsidRPr="004027E6">
        <w:rPr>
          <w:rFonts w:ascii="Lora-Regular" w:hAnsi="Lora-Regular"/>
          <w:lang w:val="uk-UA"/>
        </w:rPr>
        <w:t xml:space="preserve"> це важливий елемент політики, але основним, визначальним компонентом ефективності ІТ є якісна система комунікацій центрального банку із суспільством.</w:t>
      </w:r>
    </w:p>
    <w:p w:rsidR="00C34EE0" w:rsidRPr="004027E6" w:rsidRDefault="00C34EE0" w:rsidP="00DA59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3770" w:rsidRPr="004027E6" w:rsidRDefault="00C73770" w:rsidP="00C737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4"/>
          <w:szCs w:val="24"/>
          <w:lang w:eastAsia="ru-RU"/>
        </w:rPr>
      </w:pPr>
      <w:r w:rsidRPr="004027E6"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4"/>
          <w:szCs w:val="24"/>
          <w:lang w:eastAsia="ru-RU"/>
        </w:rPr>
        <w:t>Література</w:t>
      </w:r>
    </w:p>
    <w:p w:rsidR="00A74A94" w:rsidRPr="004027E6" w:rsidRDefault="008B72A5" w:rsidP="005324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513117">
        <w:rPr>
          <w:lang w:val="uk-UA"/>
        </w:rPr>
        <w:t xml:space="preserve"> </w:t>
      </w:r>
      <w:r w:rsidR="00513117">
        <w:rPr>
          <w:bCs/>
          <w:color w:val="000000"/>
          <w:shd w:val="clear" w:color="auto" w:fill="FFFFFF"/>
          <w:lang w:val="uk-UA"/>
        </w:rPr>
        <w:t>Про о</w:t>
      </w:r>
      <w:r w:rsidR="00A74A94" w:rsidRPr="004027E6">
        <w:rPr>
          <w:bCs/>
          <w:color w:val="000000"/>
          <w:shd w:val="clear" w:color="auto" w:fill="FFFFFF"/>
          <w:lang w:val="uk-UA"/>
        </w:rPr>
        <w:t xml:space="preserve">сновні засади грошово-кредитної політики на 2016 </w:t>
      </w:r>
      <w:r w:rsidR="00513117">
        <w:rPr>
          <w:bCs/>
          <w:color w:val="000000"/>
          <w:shd w:val="clear" w:color="auto" w:fill="FFFFFF"/>
          <w:lang w:val="uk-UA"/>
        </w:rPr>
        <w:t>–</w:t>
      </w:r>
      <w:r w:rsidR="00A74A94" w:rsidRPr="004027E6">
        <w:rPr>
          <w:bCs/>
          <w:color w:val="000000"/>
          <w:shd w:val="clear" w:color="auto" w:fill="FFFFFF"/>
          <w:lang w:val="uk-UA"/>
        </w:rPr>
        <w:t xml:space="preserve"> </w:t>
      </w:r>
      <w:r w:rsidR="00513117">
        <w:rPr>
          <w:bCs/>
          <w:color w:val="000000"/>
          <w:shd w:val="clear" w:color="auto" w:fill="FFFFFF"/>
          <w:lang w:val="uk-UA"/>
        </w:rPr>
        <w:t>2020 роки.</w:t>
      </w:r>
      <w:r w:rsidR="00A74A94" w:rsidRPr="004027E6">
        <w:rPr>
          <w:bCs/>
          <w:color w:val="000000"/>
          <w:shd w:val="clear" w:color="auto" w:fill="FFFFFF"/>
          <w:lang w:val="uk-UA"/>
        </w:rPr>
        <w:t xml:space="preserve"> </w:t>
      </w:r>
      <w:r w:rsidR="00A74A94" w:rsidRPr="004027E6">
        <w:rPr>
          <w:rStyle w:val="rvts9"/>
          <w:bCs/>
          <w:color w:val="000000"/>
          <w:bdr w:val="none" w:sz="0" w:space="0" w:color="auto" w:frame="1"/>
          <w:shd w:val="clear" w:color="auto" w:fill="FFFFFF"/>
          <w:lang w:val="uk-UA"/>
        </w:rPr>
        <w:t>Постанова Правління Національного банку України</w:t>
      </w:r>
      <w:r w:rsidR="00513117">
        <w:rPr>
          <w:rStyle w:val="apple-converted-space"/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 від </w:t>
      </w:r>
      <w:r w:rsidR="00513117">
        <w:rPr>
          <w:rStyle w:val="rvts9"/>
          <w:bCs/>
          <w:color w:val="000000"/>
          <w:bdr w:val="none" w:sz="0" w:space="0" w:color="auto" w:frame="1"/>
          <w:shd w:val="clear" w:color="auto" w:fill="FFFFFF"/>
          <w:lang w:val="uk-UA"/>
        </w:rPr>
        <w:t>18.08.2015 р.</w:t>
      </w:r>
      <w:r w:rsidR="00A74A94" w:rsidRPr="004027E6">
        <w:rPr>
          <w:rStyle w:val="rvts9"/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 № 541 </w:t>
      </w:r>
      <w:r w:rsidR="00A74A94" w:rsidRPr="004027E6">
        <w:rPr>
          <w:lang w:val="uk-UA"/>
        </w:rPr>
        <w:t>[Електронний ресурс]. – Режим доступу: http://zakon3.rada.gov.ua/laws/show/v0541500-15.</w:t>
      </w:r>
    </w:p>
    <w:p w:rsidR="009A3C76" w:rsidRPr="004027E6" w:rsidRDefault="00A74A94" w:rsidP="009A3C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7E6">
        <w:rPr>
          <w:rFonts w:ascii="Times New Roman" w:hAnsi="Times New Roman" w:cs="Times New Roman"/>
          <w:sz w:val="24"/>
          <w:szCs w:val="24"/>
          <w:lang w:val="uk-UA"/>
        </w:rPr>
        <w:lastRenderedPageBreak/>
        <w:t>2.</w:t>
      </w:r>
      <w:r w:rsidR="00513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Гриценко А.А. Інститут </w:t>
      </w:r>
      <w:proofErr w:type="spellStart"/>
      <w:r w:rsidRPr="004027E6">
        <w:rPr>
          <w:rFonts w:ascii="Times New Roman" w:hAnsi="Times New Roman" w:cs="Times New Roman"/>
          <w:sz w:val="24"/>
          <w:szCs w:val="24"/>
          <w:lang w:val="uk-UA"/>
        </w:rPr>
        <w:t>таргетування</w:t>
      </w:r>
      <w:proofErr w:type="spellEnd"/>
      <w:r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 інфляції: зарубіжний досвід і перспективи запровадження в Україні: наукова доповідь / А.А.</w:t>
      </w:r>
      <w:r w:rsidR="00513117">
        <w:rPr>
          <w:rFonts w:ascii="Times New Roman" w:hAnsi="Times New Roman" w:cs="Times New Roman"/>
          <w:sz w:val="24"/>
          <w:szCs w:val="24"/>
          <w:lang w:val="uk-UA"/>
        </w:rPr>
        <w:t xml:space="preserve"> Гриценко,                  Т</w:t>
      </w:r>
      <w:r w:rsidRPr="004027E6">
        <w:rPr>
          <w:rFonts w:ascii="Times New Roman" w:hAnsi="Times New Roman" w:cs="Times New Roman"/>
          <w:sz w:val="24"/>
          <w:szCs w:val="24"/>
          <w:lang w:val="uk-UA"/>
        </w:rPr>
        <w:t>.О. Кричевська, О.І. Петрик. – Київ: Інститут економіки та прогнозування НАН України, 2008. – 271 с.</w:t>
      </w:r>
    </w:p>
    <w:p w:rsidR="00B441E4" w:rsidRPr="00C8157C" w:rsidRDefault="009A3C76" w:rsidP="00B441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7E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815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1E4"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Основні засади грошово-кредитної політики на 2017 рік та середньострокову перспективу [Електронний ресурс]. – Режим доступу: </w:t>
      </w:r>
      <w:hyperlink r:id="rId5" w:history="1">
        <w:r w:rsidR="00C8157C" w:rsidRPr="00C8157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 xml:space="preserve">https://bank.gov.ua/doccatalog/ </w:t>
        </w:r>
        <w:proofErr w:type="spellStart"/>
        <w:r w:rsidR="00C8157C" w:rsidRPr="00C8157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document?id</w:t>
        </w:r>
        <w:proofErr w:type="spellEnd"/>
        <w:r w:rsidR="00C8157C" w:rsidRPr="00C8157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=41258582</w:t>
        </w:r>
      </w:hyperlink>
      <w:r w:rsidR="00B441E4" w:rsidRPr="00C815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E696D" w:rsidRPr="004027E6" w:rsidRDefault="00B441E4" w:rsidP="001E696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</w:pPr>
      <w:r w:rsidRPr="004027E6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C815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3C76" w:rsidRPr="004027E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A3C76" w:rsidRPr="009D6BF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ндекс </w:t>
      </w:r>
      <w:r w:rsidR="009A3C76" w:rsidRPr="004027E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інфляції в </w:t>
      </w:r>
      <w:r w:rsidR="009A3C76" w:rsidRPr="009D6BF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Укра</w:t>
      </w:r>
      <w:r w:rsidR="004E77D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ї</w:t>
      </w:r>
      <w:r w:rsidR="009A3C76" w:rsidRPr="009D6BF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н</w:t>
      </w:r>
      <w:r w:rsidR="009A3C76" w:rsidRPr="004027E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і</w:t>
      </w:r>
      <w:r w:rsidR="009A3C76"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 [Електронний ресурс]. – Режим доступу: </w:t>
      </w:r>
      <w:hyperlink r:id="rId6" w:history="1">
        <w:r w:rsidR="001E696D" w:rsidRPr="004027E6">
          <w:rPr>
            <w:rStyle w:val="a5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u w:val="none"/>
            <w:lang w:val="uk-UA" w:eastAsia="ru-RU"/>
          </w:rPr>
          <w:t>http://minfin.com.ua</w:t>
        </w:r>
      </w:hyperlink>
      <w:r w:rsidR="001E696D" w:rsidRPr="004027E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.</w:t>
      </w:r>
    </w:p>
    <w:p w:rsidR="001E696D" w:rsidRPr="004027E6" w:rsidRDefault="00B441E4" w:rsidP="001E69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7E6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C815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Петрик </w:t>
      </w:r>
      <w:r w:rsidR="001E696D"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О. Кажи, що робиш, і роби, що кажеш / </w:t>
      </w:r>
      <w:r w:rsidR="00715EC7">
        <w:rPr>
          <w:rFonts w:ascii="Times New Roman" w:hAnsi="Times New Roman" w:cs="Times New Roman"/>
          <w:sz w:val="24"/>
          <w:szCs w:val="24"/>
          <w:lang w:val="uk-UA"/>
        </w:rPr>
        <w:t>О. Петрик</w:t>
      </w:r>
      <w:r w:rsidR="001E696D"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5EC7">
        <w:rPr>
          <w:rFonts w:ascii="Times New Roman" w:hAnsi="Times New Roman" w:cs="Times New Roman"/>
          <w:sz w:val="24"/>
          <w:szCs w:val="24"/>
          <w:lang w:val="uk-UA"/>
        </w:rPr>
        <w:t>//</w:t>
      </w:r>
      <w:r w:rsidR="00B61208" w:rsidRPr="004027E6">
        <w:rPr>
          <w:rFonts w:ascii="Times New Roman" w:hAnsi="Times New Roman" w:cs="Times New Roman"/>
          <w:sz w:val="24"/>
          <w:szCs w:val="24"/>
          <w:lang w:val="uk-UA"/>
        </w:rPr>
        <w:t>Дзеркало тижня</w:t>
      </w:r>
      <w:r w:rsidR="00C815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57C" w:rsidRPr="004027E6">
        <w:rPr>
          <w:rFonts w:ascii="Times New Roman" w:hAnsi="Times New Roman" w:cs="Times New Roman"/>
          <w:sz w:val="24"/>
          <w:szCs w:val="24"/>
          <w:lang w:val="uk-UA"/>
        </w:rPr>
        <w:t>[Електронний ресурс]</w:t>
      </w:r>
      <w:r w:rsidR="00715EC7">
        <w:rPr>
          <w:rFonts w:ascii="Times New Roman" w:hAnsi="Times New Roman" w:cs="Times New Roman"/>
          <w:sz w:val="24"/>
          <w:szCs w:val="24"/>
          <w:lang w:val="uk-UA"/>
        </w:rPr>
        <w:t>. –2017. –</w:t>
      </w:r>
      <w:r w:rsidR="00B61208"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96D" w:rsidRPr="004027E6">
        <w:rPr>
          <w:rFonts w:ascii="Times New Roman" w:hAnsi="Times New Roman" w:cs="Times New Roman"/>
          <w:sz w:val="24"/>
          <w:szCs w:val="24"/>
          <w:lang w:val="uk-UA"/>
        </w:rPr>
        <w:t xml:space="preserve">Режим доступу: </w:t>
      </w:r>
      <w:hyperlink r:id="rId7" w:history="1">
        <w:r w:rsidR="001E696D" w:rsidRPr="004027E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https://zn.ua/internal/govori-chto-delaesh-i-delay-chto-govorish-256901_.html</w:t>
        </w:r>
      </w:hyperlink>
      <w:r w:rsidR="00715EC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.</w:t>
      </w:r>
    </w:p>
    <w:p w:rsidR="001E696D" w:rsidRPr="004027E6" w:rsidRDefault="001E696D" w:rsidP="001E696D">
      <w:pPr>
        <w:pStyle w:val="a3"/>
        <w:spacing w:after="0" w:line="240" w:lineRule="auto"/>
        <w:ind w:left="0" w:firstLine="709"/>
        <w:jc w:val="both"/>
        <w:rPr>
          <w:rFonts w:ascii="SourceSansPro-Bold" w:hAnsi="SourceSansPro-Bold"/>
          <w:sz w:val="24"/>
          <w:szCs w:val="24"/>
          <w:lang w:val="uk-UA"/>
        </w:rPr>
      </w:pPr>
    </w:p>
    <w:p w:rsidR="00671A28" w:rsidRPr="004027E6" w:rsidRDefault="00671A28" w:rsidP="005324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1E4" w:rsidRDefault="00B441E4" w:rsidP="005324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441E4" w:rsidSect="00EA49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ora-Regular">
    <w:altName w:val="Times New Roman"/>
    <w:panose1 w:val="00000000000000000000"/>
    <w:charset w:val="00"/>
    <w:family w:val="roman"/>
    <w:notTrueType/>
    <w:pitch w:val="default"/>
  </w:font>
  <w:font w:name="Lora-Bold">
    <w:altName w:val="Times New Roman"/>
    <w:panose1 w:val="00000000000000000000"/>
    <w:charset w:val="00"/>
    <w:family w:val="roman"/>
    <w:notTrueType/>
    <w:pitch w:val="default"/>
  </w:font>
  <w:font w:name="SourceSansPr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62"/>
    <w:rsid w:val="00001BEA"/>
    <w:rsid w:val="00027187"/>
    <w:rsid w:val="00053E0B"/>
    <w:rsid w:val="0006727C"/>
    <w:rsid w:val="00090824"/>
    <w:rsid w:val="000B05A8"/>
    <w:rsid w:val="000F7E18"/>
    <w:rsid w:val="00116E0D"/>
    <w:rsid w:val="00121A8B"/>
    <w:rsid w:val="001343B5"/>
    <w:rsid w:val="00192D83"/>
    <w:rsid w:val="001E696D"/>
    <w:rsid w:val="002041B4"/>
    <w:rsid w:val="00213B88"/>
    <w:rsid w:val="0023354E"/>
    <w:rsid w:val="00285D99"/>
    <w:rsid w:val="002A4B05"/>
    <w:rsid w:val="002E4F15"/>
    <w:rsid w:val="00337C53"/>
    <w:rsid w:val="00341D71"/>
    <w:rsid w:val="00357EAE"/>
    <w:rsid w:val="003617E2"/>
    <w:rsid w:val="003955F1"/>
    <w:rsid w:val="003C6362"/>
    <w:rsid w:val="003F6189"/>
    <w:rsid w:val="004027E6"/>
    <w:rsid w:val="00424AF8"/>
    <w:rsid w:val="00426EB4"/>
    <w:rsid w:val="00434617"/>
    <w:rsid w:val="00462F05"/>
    <w:rsid w:val="004862BC"/>
    <w:rsid w:val="004A3263"/>
    <w:rsid w:val="004D466D"/>
    <w:rsid w:val="004D5875"/>
    <w:rsid w:val="004E77D2"/>
    <w:rsid w:val="004F1875"/>
    <w:rsid w:val="00513117"/>
    <w:rsid w:val="005324F9"/>
    <w:rsid w:val="00555924"/>
    <w:rsid w:val="0058027C"/>
    <w:rsid w:val="005A4A13"/>
    <w:rsid w:val="005B0015"/>
    <w:rsid w:val="005B3657"/>
    <w:rsid w:val="00651DD8"/>
    <w:rsid w:val="00657621"/>
    <w:rsid w:val="0066518D"/>
    <w:rsid w:val="00671A28"/>
    <w:rsid w:val="00680F09"/>
    <w:rsid w:val="006A4F8D"/>
    <w:rsid w:val="006B3DF8"/>
    <w:rsid w:val="006E62B2"/>
    <w:rsid w:val="00705E85"/>
    <w:rsid w:val="00715EC7"/>
    <w:rsid w:val="007261A6"/>
    <w:rsid w:val="00731962"/>
    <w:rsid w:val="007422A0"/>
    <w:rsid w:val="0075015E"/>
    <w:rsid w:val="007C0E7B"/>
    <w:rsid w:val="007C1F8D"/>
    <w:rsid w:val="007D7B7D"/>
    <w:rsid w:val="00817768"/>
    <w:rsid w:val="0084788B"/>
    <w:rsid w:val="00847D70"/>
    <w:rsid w:val="008B72A5"/>
    <w:rsid w:val="00907CDA"/>
    <w:rsid w:val="009210C5"/>
    <w:rsid w:val="009217B8"/>
    <w:rsid w:val="0092357C"/>
    <w:rsid w:val="009455F5"/>
    <w:rsid w:val="0097494B"/>
    <w:rsid w:val="009A3C76"/>
    <w:rsid w:val="009C3090"/>
    <w:rsid w:val="009D0346"/>
    <w:rsid w:val="009D139E"/>
    <w:rsid w:val="009D6BF2"/>
    <w:rsid w:val="00A24763"/>
    <w:rsid w:val="00A27A54"/>
    <w:rsid w:val="00A33C8F"/>
    <w:rsid w:val="00A439A2"/>
    <w:rsid w:val="00A66FD0"/>
    <w:rsid w:val="00A74A94"/>
    <w:rsid w:val="00A861AF"/>
    <w:rsid w:val="00AA475F"/>
    <w:rsid w:val="00AA71C3"/>
    <w:rsid w:val="00AD447B"/>
    <w:rsid w:val="00AE5113"/>
    <w:rsid w:val="00AF0E8C"/>
    <w:rsid w:val="00AF57B2"/>
    <w:rsid w:val="00B24E2D"/>
    <w:rsid w:val="00B441E4"/>
    <w:rsid w:val="00B52974"/>
    <w:rsid w:val="00B5738B"/>
    <w:rsid w:val="00B61208"/>
    <w:rsid w:val="00B721B5"/>
    <w:rsid w:val="00B75402"/>
    <w:rsid w:val="00B76D8E"/>
    <w:rsid w:val="00B87FA3"/>
    <w:rsid w:val="00B90DB8"/>
    <w:rsid w:val="00BF4686"/>
    <w:rsid w:val="00C151D5"/>
    <w:rsid w:val="00C15E83"/>
    <w:rsid w:val="00C34EE0"/>
    <w:rsid w:val="00C731FB"/>
    <w:rsid w:val="00C73770"/>
    <w:rsid w:val="00C77999"/>
    <w:rsid w:val="00C8157C"/>
    <w:rsid w:val="00C8197C"/>
    <w:rsid w:val="00C85086"/>
    <w:rsid w:val="00C94809"/>
    <w:rsid w:val="00CA7872"/>
    <w:rsid w:val="00CC58AD"/>
    <w:rsid w:val="00CE1878"/>
    <w:rsid w:val="00D07FE4"/>
    <w:rsid w:val="00D4492B"/>
    <w:rsid w:val="00D92EEC"/>
    <w:rsid w:val="00D96A55"/>
    <w:rsid w:val="00DA59DA"/>
    <w:rsid w:val="00DB7EAF"/>
    <w:rsid w:val="00DD7020"/>
    <w:rsid w:val="00E42E0F"/>
    <w:rsid w:val="00E667DF"/>
    <w:rsid w:val="00EA4906"/>
    <w:rsid w:val="00EB3ECF"/>
    <w:rsid w:val="00EE515C"/>
    <w:rsid w:val="00F1251A"/>
    <w:rsid w:val="00F235C1"/>
    <w:rsid w:val="00F86036"/>
    <w:rsid w:val="00FD1F62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832E2-8EC3-4BDF-807A-5A5AAEEA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62"/>
    <w:rPr>
      <w:noProof/>
      <w:lang w:val="uk-UA"/>
    </w:rPr>
  </w:style>
  <w:style w:type="paragraph" w:styleId="1">
    <w:name w:val="heading 1"/>
    <w:basedOn w:val="a"/>
    <w:link w:val="10"/>
    <w:uiPriority w:val="9"/>
    <w:qFormat/>
    <w:rsid w:val="009D6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9DA"/>
    <w:pPr>
      <w:ind w:left="720"/>
      <w:contextualSpacing/>
    </w:pPr>
    <w:rPr>
      <w:noProof w:val="0"/>
      <w:lang w:val="ru-RU"/>
    </w:rPr>
  </w:style>
  <w:style w:type="character" w:customStyle="1" w:styleId="apple-converted-space">
    <w:name w:val="apple-converted-space"/>
    <w:basedOn w:val="a0"/>
    <w:rsid w:val="00DA59DA"/>
  </w:style>
  <w:style w:type="character" w:customStyle="1" w:styleId="rvts23">
    <w:name w:val="rvts23"/>
    <w:basedOn w:val="a0"/>
    <w:rsid w:val="00DA59DA"/>
  </w:style>
  <w:style w:type="paragraph" w:styleId="a4">
    <w:name w:val="Normal (Web)"/>
    <w:basedOn w:val="a"/>
    <w:uiPriority w:val="99"/>
    <w:unhideWhenUsed/>
    <w:rsid w:val="00A7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rvts9">
    <w:name w:val="rvts9"/>
    <w:basedOn w:val="a0"/>
    <w:rsid w:val="00A74A94"/>
  </w:style>
  <w:style w:type="character" w:styleId="a5">
    <w:name w:val="Hyperlink"/>
    <w:basedOn w:val="a0"/>
    <w:uiPriority w:val="99"/>
    <w:unhideWhenUsed/>
    <w:rsid w:val="00705E8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A3263"/>
    <w:rPr>
      <w:b/>
      <w:bCs/>
    </w:rPr>
  </w:style>
  <w:style w:type="paragraph" w:customStyle="1" w:styleId="p6">
    <w:name w:val="p6"/>
    <w:basedOn w:val="a"/>
    <w:rsid w:val="0084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D6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3">
    <w:name w:val="p3"/>
    <w:basedOn w:val="a"/>
    <w:rsid w:val="002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n.ua/internal/govori-chto-delaesh-i-delay-chto-govorish-256901_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fin.com.ua" TargetMode="External"/><Relationship Id="rId5" Type="http://schemas.openxmlformats.org/officeDocument/2006/relationships/hyperlink" Target="https://bank.gov.ua/doccatalog/%20document?id=41258582" TargetMode="External"/><Relationship Id="rId4" Type="http://schemas.openxmlformats.org/officeDocument/2006/relationships/hyperlink" Target="https://dt.ua/ECONOMICS/rada-nbu-uhvalila-osnovni-zasadi-groshovo-kreditnoyi-politiki-na-2017-rik-228167_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t100</cp:lastModifiedBy>
  <cp:revision>7</cp:revision>
  <dcterms:created xsi:type="dcterms:W3CDTF">2017-10-02T14:02:00Z</dcterms:created>
  <dcterms:modified xsi:type="dcterms:W3CDTF">2017-10-19T22:13:00Z</dcterms:modified>
</cp:coreProperties>
</file>