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47" w:rsidRPr="00C74032" w:rsidRDefault="00A90C47" w:rsidP="00B95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УДК</w:t>
      </w:r>
      <w:r w:rsidR="001E2BBA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338.51 (477)</w:t>
      </w:r>
    </w:p>
    <w:p w:rsidR="004645BC" w:rsidRPr="00C74032" w:rsidRDefault="004645BC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645BC" w:rsidRPr="00C74032" w:rsidRDefault="004645BC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Чичуліна</w:t>
      </w:r>
      <w:proofErr w:type="spellEnd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К.В., </w:t>
      </w:r>
    </w:p>
    <w:p w:rsidR="004645BC" w:rsidRPr="00C74032" w:rsidRDefault="004645BC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к.т.н</w:t>
      </w:r>
      <w:proofErr w:type="spellEnd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., старший викладач кафедри економіки підприємства та управління персоналом, Полтавський національний технічний університет імені Юрія Кондратюка, м.</w:t>
      </w:r>
      <w:r w:rsidR="001E2BBA" w:rsidRPr="00C74032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Полтава</w:t>
      </w:r>
    </w:p>
    <w:p w:rsidR="004645BC" w:rsidRPr="00C74032" w:rsidRDefault="00A90C47" w:rsidP="00C740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Ковалець</w:t>
      </w:r>
      <w:proofErr w:type="spellEnd"/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 В.,</w:t>
      </w:r>
      <w:r w:rsidR="004645BC" w:rsidRPr="00C740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4645BC" w:rsidRPr="00C74032" w:rsidRDefault="004645BC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студент, Полтавський національний технічний університет імені Юрія Кондратюка, м.</w:t>
      </w:r>
      <w:r w:rsidR="001E2BBA" w:rsidRPr="00C74032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Полтава</w:t>
      </w:r>
    </w:p>
    <w:p w:rsidR="004645BC" w:rsidRPr="00C74032" w:rsidRDefault="00A90C47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Кравченко К. І.</w:t>
      </w:r>
      <w:r w:rsidR="004645BC" w:rsidRPr="00C74032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</w:p>
    <w:p w:rsidR="004645BC" w:rsidRPr="00C74032" w:rsidRDefault="004645BC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студент, Полтавський національний технічний університет імені Юрія Кондратюка, м.</w:t>
      </w:r>
      <w:r w:rsidR="001E2BBA" w:rsidRPr="00C74032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C74032">
        <w:rPr>
          <w:rFonts w:ascii="Times New Roman" w:hAnsi="Times New Roman" w:cs="Times New Roman"/>
          <w:i/>
          <w:sz w:val="24"/>
          <w:szCs w:val="24"/>
          <w:lang w:val="uk-UA"/>
        </w:rPr>
        <w:t>Полтава</w:t>
      </w:r>
    </w:p>
    <w:p w:rsidR="00A90C47" w:rsidRPr="00C74032" w:rsidRDefault="00A90C47" w:rsidP="00C740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955B4" w:rsidRPr="00C74032" w:rsidRDefault="00A90C47" w:rsidP="00C7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4032">
        <w:rPr>
          <w:rFonts w:ascii="Times New Roman" w:hAnsi="Times New Roman" w:cs="Times New Roman"/>
          <w:b/>
          <w:sz w:val="28"/>
          <w:szCs w:val="28"/>
          <w:lang w:val="uk-UA"/>
        </w:rPr>
        <w:t>Теоретичні основи модернізації системи державного регулювання ціноутворення на сільськогосподарську п</w:t>
      </w:r>
      <w:r w:rsidR="00E10DDA" w:rsidRPr="00C74032">
        <w:rPr>
          <w:rFonts w:ascii="Times New Roman" w:hAnsi="Times New Roman" w:cs="Times New Roman"/>
          <w:b/>
          <w:sz w:val="28"/>
          <w:szCs w:val="28"/>
          <w:lang w:val="uk-UA"/>
        </w:rPr>
        <w:t>родукцію на основі іноземного</w:t>
      </w:r>
      <w:r w:rsidRPr="00C74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досвіду</w:t>
      </w:r>
    </w:p>
    <w:p w:rsidR="00B955B4" w:rsidRPr="00C74032" w:rsidRDefault="00B955B4" w:rsidP="00C7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55B4" w:rsidRPr="00E165E0" w:rsidRDefault="00B955B4" w:rsidP="00C74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165E0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Chichulina</w:t>
      </w:r>
      <w:proofErr w:type="spell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5E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K.V., </w:t>
      </w:r>
    </w:p>
    <w:p w:rsidR="00B955B4" w:rsidRPr="00E165E0" w:rsidRDefault="00B955B4" w:rsidP="00C740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E165E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Ph.D., </w:t>
      </w:r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lecturer of department </w:t>
      </w:r>
      <w:proofErr w:type="gram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of  Business</w:t>
      </w:r>
      <w:proofErr w:type="gram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Economics and Management Personnel, </w:t>
      </w:r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Poltava National Technical University named after Yuri </w:t>
      </w:r>
      <w:proofErr w:type="spellStart"/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Kondratyuk</w:t>
      </w:r>
      <w:proofErr w:type="spellEnd"/>
      <w:r w:rsidRPr="00E165E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Poltava</w:t>
      </w:r>
    </w:p>
    <w:p w:rsidR="00B955B4" w:rsidRPr="00E165E0" w:rsidRDefault="00B848EF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Ко</w:t>
      </w:r>
      <w:r w:rsidR="00FF2743" w:rsidRPr="00E165E0">
        <w:rPr>
          <w:rFonts w:ascii="Times New Roman" w:hAnsi="Times New Roman" w:cs="Times New Roman"/>
          <w:i/>
          <w:sz w:val="24"/>
          <w:szCs w:val="24"/>
          <w:lang w:val="en-US"/>
        </w:rPr>
        <w:t>valets</w:t>
      </w:r>
      <w:proofErr w:type="spellEnd"/>
      <w:r w:rsidR="00FF2743"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M. V.</w:t>
      </w:r>
      <w:r w:rsidR="00B955B4" w:rsidRPr="00E165E0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proofErr w:type="gramEnd"/>
      <w:r w:rsidR="00B955B4"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955B4" w:rsidRPr="00E165E0" w:rsidRDefault="00B955B4" w:rsidP="00C740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gram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proofErr w:type="gram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Poltava National Technical University named after Yuri </w:t>
      </w:r>
      <w:proofErr w:type="spellStart"/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Kondratyuk</w:t>
      </w:r>
      <w:proofErr w:type="spellEnd"/>
      <w:r w:rsidRPr="00E165E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Poltava</w:t>
      </w:r>
    </w:p>
    <w:p w:rsidR="00B955B4" w:rsidRPr="00E165E0" w:rsidRDefault="00FF2743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Kravchenko</w:t>
      </w:r>
      <w:proofErr w:type="spell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K. I</w:t>
      </w:r>
      <w:proofErr w:type="gram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B955B4" w:rsidRPr="00E165E0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proofErr w:type="gramEnd"/>
    </w:p>
    <w:p w:rsidR="00B955B4" w:rsidRPr="00E165E0" w:rsidRDefault="00B955B4" w:rsidP="00C740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gramStart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proofErr w:type="gramEnd"/>
      <w:r w:rsidRPr="00E165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Poltava National Technical University named after Yuri </w:t>
      </w:r>
      <w:proofErr w:type="spellStart"/>
      <w:r w:rsidRPr="00E165E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Kondratyuk</w:t>
      </w:r>
      <w:proofErr w:type="spellEnd"/>
      <w:r w:rsidRPr="00E165E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Poltava</w:t>
      </w:r>
    </w:p>
    <w:p w:rsidR="00B955B4" w:rsidRPr="00E165E0" w:rsidRDefault="00B955B4" w:rsidP="00C740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41C2C" w:rsidRPr="00E165E0" w:rsidRDefault="00B848EF" w:rsidP="00C74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Theoretical Foundations of modernizing the </w:t>
      </w:r>
      <w:r w:rsidR="00C74032" w:rsidRPr="00E165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state </w:t>
      </w:r>
      <w:r w:rsidRPr="00E165E0">
        <w:rPr>
          <w:rFonts w:ascii="Times New Roman" w:hAnsi="Times New Roman" w:cs="Times New Roman"/>
          <w:b/>
          <w:sz w:val="28"/>
          <w:szCs w:val="28"/>
          <w:lang w:val="en-US"/>
        </w:rPr>
        <w:t>system of regulation pricing of agricultural products based on international experience</w:t>
      </w:r>
    </w:p>
    <w:p w:rsidR="00FF2743" w:rsidRPr="00C74032" w:rsidRDefault="00FF2743" w:rsidP="00C74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C45" w:rsidRPr="00C74032" w:rsidRDefault="00DA6C45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Анотація.</w:t>
      </w:r>
    </w:p>
    <w:p w:rsidR="00541C2C" w:rsidRPr="00C74032" w:rsidRDefault="00E10DDA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У статті </w:t>
      </w:r>
      <w:r w:rsidR="00541C2C" w:rsidRPr="00C74032">
        <w:rPr>
          <w:rFonts w:ascii="Times New Roman" w:hAnsi="Times New Roman" w:cs="Times New Roman"/>
          <w:sz w:val="24"/>
          <w:szCs w:val="24"/>
          <w:lang w:val="uk-UA"/>
        </w:rPr>
        <w:t>визначено сутність та напрями державного регулювання в аграрній сфері розвинених країн світу. Розроблено основні заходи щодо модернізації системи державного регулювання ціноутворення на продукти сільського господарства в Україні на основі досвіду зарубіжних країн.</w:t>
      </w:r>
    </w:p>
    <w:p w:rsidR="00541C2C" w:rsidRPr="00C74032" w:rsidRDefault="00541C2C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25DF" w:rsidRPr="00C74032" w:rsidRDefault="004125DF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Summary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25DF" w:rsidRPr="00C74032" w:rsidRDefault="00B511D5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article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defined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nature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direction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government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agricultural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sector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developed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Designed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basic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measures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to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modernize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state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pricing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agricultural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products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based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experience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foreign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countries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11D5" w:rsidRPr="00C74032" w:rsidRDefault="00B511D5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25DF" w:rsidRPr="00C74032" w:rsidRDefault="004125DF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Ключові слова:</w:t>
      </w:r>
      <w:r w:rsidR="00541C2C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державне регулювання в аграрній сфері, політика ціноутворення, </w:t>
      </w:r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модернізація системи державного регулювання.</w:t>
      </w:r>
    </w:p>
    <w:p w:rsidR="004125DF" w:rsidRPr="00C74032" w:rsidRDefault="004125DF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25DF" w:rsidRPr="00C74032" w:rsidRDefault="004125DF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Keywords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government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agriculture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pricing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policy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modernization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state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25DF" w:rsidRPr="00C74032" w:rsidRDefault="004125DF" w:rsidP="00C7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E4F" w:rsidRPr="00C74032" w:rsidRDefault="008355A9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Постановка проблеми. </w:t>
      </w:r>
      <w:r w:rsidR="004125DF" w:rsidRPr="00C74032">
        <w:rPr>
          <w:rFonts w:ascii="Times New Roman" w:hAnsi="Times New Roman" w:cs="Times New Roman"/>
          <w:sz w:val="24"/>
          <w:szCs w:val="24"/>
          <w:lang w:val="uk-UA"/>
        </w:rPr>
        <w:t>Як свідчить досвід розвинених західних країн, в умовах ринкової економіки,</w:t>
      </w:r>
      <w:r w:rsidR="00713E4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ефективність агропромислового виробництва і розвиток сільських територій значною мірою залежать від дер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жавного регулювання й підтримки </w:t>
      </w:r>
      <w:r w:rsidR="008A6CFD" w:rsidRPr="00C74032">
        <w:rPr>
          <w:rFonts w:ascii="Times New Roman" w:hAnsi="Times New Roman" w:cs="Times New Roman"/>
          <w:sz w:val="24"/>
          <w:szCs w:val="24"/>
          <w:lang w:val="uk-UA"/>
        </w:rPr>
        <w:t>[1]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CEE" w:rsidRPr="00C74032" w:rsidRDefault="00713E4F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Світова практика державного регулювання цього сектора економіки засвідчила існування різних форм державного впливу на виробника. Т</w:t>
      </w:r>
      <w:r w:rsidR="001E2BBA" w:rsidRPr="00C74032">
        <w:rPr>
          <w:rFonts w:ascii="Times New Roman" w:hAnsi="Times New Roman" w:cs="Times New Roman"/>
          <w:sz w:val="24"/>
          <w:szCs w:val="24"/>
          <w:lang w:val="uk-UA"/>
        </w:rPr>
        <w:t>ож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, високо</w:t>
      </w:r>
      <w:r w:rsidR="00A90C47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розвинуті країни, які традиційно експортують сільськогосподарську продукцію (США, Канада, Австралія) і прагнуть зберегти своє місце на ринку, посилюють підтримку вітчизняного фермерства.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Країни, які традиційно імпортують значну частину продуктів харчування </w:t>
      </w:r>
      <w:r w:rsidR="001E2BBA" w:rsidRPr="00C74032">
        <w:rPr>
          <w:rFonts w:ascii="Times New Roman" w:hAnsi="Times New Roman" w:cs="Times New Roman"/>
          <w:sz w:val="24"/>
          <w:szCs w:val="24"/>
          <w:lang w:val="uk-UA"/>
        </w:rPr>
        <w:t>(Японія, Норвегія, Австрія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) прагнуть зменшити залежність від країн-експортерів, підтримуючи власного товаровиробника. На різних етапах економічного розвитку держави змінюють рівень підтримки (посилюють або зменшують) власного сільського господарства.</w:t>
      </w:r>
    </w:p>
    <w:p w:rsidR="00F13A16" w:rsidRPr="00C74032" w:rsidRDefault="00EE3CEE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Особливість політики ціноутворення в аграрній сфері країн Європейського Союзу полягає у врахуванні умов кризи надвиробництва сільськогосподарської продукції, що зумовлює потребу підтримки національних товаровиробників. В країнах </w:t>
      </w:r>
      <w:r w:rsidR="001E2BBA" w:rsidRPr="00C7403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членах ЄС широко використовується державне субсидування експорту деяких видів сільськогосподарської продукції, яке має не економічне, а соціальне навантаження. </w:t>
      </w:r>
      <w:r w:rsidR="001E2BBA" w:rsidRPr="00C74032">
        <w:rPr>
          <w:rFonts w:ascii="Times New Roman" w:hAnsi="Times New Roman" w:cs="Times New Roman"/>
          <w:sz w:val="24"/>
          <w:szCs w:val="24"/>
          <w:lang w:val="uk-UA"/>
        </w:rPr>
        <w:t>Такий х</w:t>
      </w:r>
      <w:r w:rsidR="008355A9" w:rsidRPr="00C74032">
        <w:rPr>
          <w:rFonts w:ascii="Times New Roman" w:hAnsi="Times New Roman" w:cs="Times New Roman"/>
          <w:sz w:val="24"/>
          <w:szCs w:val="24"/>
          <w:lang w:val="uk-UA"/>
        </w:rPr>
        <w:t>ід необхідний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з метою уникнення розорення нерентабельних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і малорентабельних господарств</w:t>
      </w:r>
      <w:r w:rsidR="00713E4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>[2, c. 306].</w:t>
      </w:r>
    </w:p>
    <w:p w:rsidR="00EE3CEE" w:rsidRPr="00C74032" w:rsidRDefault="008355A9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Аналіз останніх досліджень.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Базуючись на 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дослідження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провідних вітчизняних і зарубіжних вчених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, а саме 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П. </w:t>
      </w:r>
      <w:proofErr w:type="spellStart"/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Саблук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, В. Валентинов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Корецьк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, О. </w:t>
      </w:r>
      <w:proofErr w:type="spellStart"/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Овчинников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, Б. </w:t>
      </w:r>
      <w:proofErr w:type="spellStart"/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Черняков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та інших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, в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усіх розвинутих країнах дія ринкового механізму в аграрній сфері</w:t>
      </w:r>
      <w:r w:rsidR="004125D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доповнюється інструментами державного регулювання, співвідношення яких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залежить від частки державного сектора, історичних особливостей і традицій, характеру вирішення завдань у теперішній час</w:t>
      </w:r>
      <w:r w:rsidR="00EE3CEE" w:rsidRPr="00C74032">
        <w:rPr>
          <w:rFonts w:ascii="Times New Roman" w:hAnsi="Times New Roman" w:cs="Times New Roman"/>
          <w:color w:val="1F497D" w:themeColor="text2"/>
          <w:sz w:val="24"/>
          <w:szCs w:val="24"/>
          <w:lang w:val="uk-UA"/>
        </w:rPr>
        <w:t xml:space="preserve"> 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E3CEE" w:rsidRPr="00C74032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EE3CEE" w:rsidRPr="00C74032" w:rsidRDefault="004125DF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На сучасному етапі</w:t>
      </w:r>
      <w:r w:rsidR="005D7D4C" w:rsidRPr="00C74032">
        <w:rPr>
          <w:rFonts w:ascii="Times New Roman" w:hAnsi="Times New Roman" w:cs="Times New Roman"/>
          <w:sz w:val="24"/>
          <w:szCs w:val="24"/>
          <w:lang w:val="uk-UA"/>
        </w:rPr>
        <w:t>, великий досвід у питаннях державного регулювання і підтримки сільського господарства в ринкових умовах мають США, Канада, Японія, Китай, Німеччина, Данія.</w:t>
      </w:r>
    </w:p>
    <w:p w:rsidR="008355A9" w:rsidRPr="00C74032" w:rsidRDefault="008355A9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>Формулювання цілей статті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402D0" w:rsidRPr="00C74032">
        <w:rPr>
          <w:rFonts w:ascii="Times New Roman" w:hAnsi="Times New Roman" w:cs="Times New Roman"/>
          <w:sz w:val="24"/>
          <w:szCs w:val="24"/>
          <w:lang w:val="uk-UA"/>
        </w:rPr>
        <w:t>Метою дослідження є визначення сутності та напрямів державного регулювання аграрного ринку в Україні та зарубіжних країнах, а також розроблення основних заходів щодо модернізації системи державного регулювання ціноутворення на продукти сільського господарства в Україні на основі досвіду зарубіжних країн.</w:t>
      </w:r>
    </w:p>
    <w:p w:rsidR="003402D0" w:rsidRPr="00C74032" w:rsidRDefault="008355A9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b/>
          <w:sz w:val="24"/>
          <w:szCs w:val="24"/>
          <w:lang w:val="uk-UA"/>
        </w:rPr>
        <w:t>Виклад основного матеріалу.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2D0" w:rsidRPr="00C74032">
        <w:rPr>
          <w:rFonts w:ascii="Times New Roman" w:hAnsi="Times New Roman" w:cs="Times New Roman"/>
          <w:sz w:val="24"/>
          <w:szCs w:val="24"/>
          <w:lang w:val="uk-UA"/>
        </w:rPr>
        <w:t>Система регулювання цін в країнах ЄС спрямована на підтримку фермерських цін на рівні, що дозволяє товаровиробникам не тільки відшкодовувати власні витрати на виробництво, а й вести розширене відтворення.</w:t>
      </w:r>
    </w:p>
    <w:p w:rsidR="003402D0" w:rsidRPr="00C74032" w:rsidRDefault="003402D0" w:rsidP="00C7403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Комісія ЄС періодично регулює ціни по трьох головних критеріях:</w:t>
      </w:r>
    </w:p>
    <w:p w:rsidR="003402D0" w:rsidRPr="00C74032" w:rsidRDefault="003402D0" w:rsidP="00C740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екомендовані ціни (індикативні 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для зернових культур, молока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, цукру, соняшника; орієнтовні 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для великої рогатої худоби, вина; цільові - для тютюну);</w:t>
      </w:r>
    </w:p>
    <w:p w:rsidR="003402D0" w:rsidRPr="00C74032" w:rsidRDefault="003402D0" w:rsidP="00C740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мінімальні ціни імпорту (граничні </w:t>
      </w:r>
      <w:r w:rsidR="00E165E0" w:rsidRPr="00C74032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для зернових, цукру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, молочних продуктів;довідкові 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для фруктів, овочів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, вина, рибопродуктів; шлюзові 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для свинини, яєць, птиці).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Захист від імпорту відбувається шляхом обкладання додатковим митним збором, що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дорівнює різниці між націо</w:t>
      </w:r>
      <w:bookmarkStart w:id="0" w:name="_GoBack"/>
      <w:bookmarkEnd w:id="0"/>
      <w:r w:rsidRPr="00C74032">
        <w:rPr>
          <w:rFonts w:ascii="Times New Roman" w:hAnsi="Times New Roman" w:cs="Times New Roman"/>
          <w:sz w:val="24"/>
          <w:szCs w:val="24"/>
          <w:lang w:val="uk-UA"/>
        </w:rPr>
        <w:t>нальною торговельною ціною й ціною імпорту. Крім захисту від імпорту, с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тимулюється експорт за межі ЄС 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експортні субсидії;</w:t>
      </w:r>
    </w:p>
    <w:p w:rsidR="003402D0" w:rsidRPr="00C74032" w:rsidRDefault="003402D0" w:rsidP="00C7403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мінімальні ціни, мета яких гарантувати виробникові нормальний рівень доходу й</w:t>
      </w:r>
      <w:r w:rsidR="006338B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диференціювати заготівельні ціни по районах за видами продукції [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Одним з головних механізмів у системі державного регулювання аграрного ринку в зарубіжних країнах є підтримка відповідного рівня цін і цінової рівноваги. Система регулювання цін спрямована па підтримку фермерських цін на рівні, що дозволяє товаровиробникам не тільки відшкодовувати власні витрати на виробництво, а й вести розширене відтворення.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Спільна аграрна політика ЄС передбачає використання для регулювання аграрного ринку такий інструмент, як квотування. Сутність його в тому, що підтримка цін на продукцію веде до її надвиробництва, тому вводяться квоти на виробництво її певних видів (молоко, цукор, спирт, крохмаль) з метою збереження високого рівня внутрішніх цін, недопущення надвиробництва, а також зниження витрат з бюджету ЄС.</w:t>
      </w:r>
    </w:p>
    <w:p w:rsidR="003402D0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У країнах ЄС установлені цінові дотації на придбання техніки, меліорацію земель, модернізацію ферм, У деяких державах ЄС практикуються прямі дота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>ції з державного бюджету фермам.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Специфіка сільського господарства, а саме: сезонність виробництва, значна тривалість виробничого процесу, висока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капітало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>ємн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ість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і порівняно низька фондовіддача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є головною причиною недостатності вільних фінансових коштів у сільгоспвиробників.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Саме тому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в аграрному секторі країн з розвиненою ринковою економікою функціонує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спеціалізована система сільськогосподарського кредитування.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Система фінансування аграрного сектора в різних країнах Західної Європи й Америки має свою специфіку. Наприклад, у Великобританії немає спеціалізованої системи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аграрних кредитів, і фермерські господарства підтримуються за допомогою державних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субсидій. У Німеччині, Бельгії, Данії, Франції, США, навпаки, історичний розвиток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фермерського укладу привів до створення спеціалізованих установ кредитування фермерів.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Важливе місце в кредитній системі західних країн займають кооперативні банки. Уперше вони почали функціонувати в Німеччині у вигляді 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кредито-зберігальних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сільських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кооперативів. Широкий розвиток сільська кредитна кооперація одержала в США, де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налічується більш як 4000 комерційних сільськогоспода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рських банків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 У 1995 р. загальна сума кредитів в аграрній сфері в США становила 160 млрд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дол.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 Для по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>рівняння в Україні в 2011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р. обсяг кредитування сільськогосподарського виробництва 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>становив 135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млрд. грн.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>(1,3 млрд. дол.)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>або майже в 120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разів менше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3A16" w:rsidRPr="00C74032">
        <w:rPr>
          <w:rFonts w:ascii="Times New Roman" w:hAnsi="Times New Roman" w:cs="Times New Roman"/>
          <w:sz w:val="24"/>
          <w:szCs w:val="24"/>
        </w:rPr>
        <w:t>[4]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2F28" w:rsidRPr="00C74032">
        <w:rPr>
          <w:rFonts w:ascii="Times New Roman" w:hAnsi="Times New Roman" w:cs="Times New Roman"/>
          <w:sz w:val="24"/>
          <w:szCs w:val="24"/>
        </w:rPr>
        <w:t xml:space="preserve"> </w:t>
      </w:r>
      <w:r w:rsidR="00B511D5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Досить поширена в розвинених країнах практика державного фінансування придбання засобів виробництва для сільського господарства. Так, у США встановлюються диференційовані ціни на дизельне паливо для фермерів. У Канаді податкові пільги й субсидії забезпечують фермерам ціну на паливо на рівні 56% від роздрібної. У країнах ЄС установлені цінові дотації на придбання техніки, меліорацію земель, модернізацію </w:t>
      </w:r>
      <w:r w:rsidR="00E165E0">
        <w:rPr>
          <w:rFonts w:ascii="Times New Roman" w:hAnsi="Times New Roman" w:cs="Times New Roman"/>
          <w:sz w:val="24"/>
          <w:szCs w:val="24"/>
          <w:lang w:val="uk-UA"/>
        </w:rPr>
        <w:t>ферм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165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У Польщі з метою стабілізації ринку й захисту доходів фермерів через встановлення інтервалу припустимого коливання ринкових цін на внутрішньому ринку держава проводить інтервенційні закупівлі сезонних надлишків сільськогосподарської продукції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й продовольства і продаж цих продуктів у період дефіциту. Цю функцію виконує державне Агентство аграрного ринку, що діє на ринках зерна, молочної продукції, м’яса,цукру, хмелю й продуктів переробки картоплі. Агентство надає гарантовані кредити на закупівлю цих продуктів за мінімальними цінами, виплачуючи їм 45% мінімальної ціни. Агентство також встановлює експортні с</w:t>
      </w:r>
      <w:r w:rsidR="00B36AE4" w:rsidRPr="00C74032">
        <w:rPr>
          <w:rFonts w:ascii="Times New Roman" w:hAnsi="Times New Roman" w:cs="Times New Roman"/>
          <w:sz w:val="24"/>
          <w:szCs w:val="24"/>
          <w:lang w:val="uk-UA"/>
        </w:rPr>
        <w:t>убсидії на експорт продукції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У багатьох країнах передбачені податкові пільги для сільськогосподарських підприємств. Рівень податків для них, у тому числі податок на прибуток, значно нижче порівняно з аналогічними податками в несільськогосподарських галузях. Наприклад, у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Канаді фермери, які отримують прибуток у розмірі від 100 до 250 тис. дол., платять відповідно податок від 1 до 2,5 тис. дол., тобто майже 1%. У ряді розвинених країн на певну кількість років від оподатковування звільняються кооперативи, що виробляють екологічно чисту продукцію, а в Німеччині 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якщо вони працюють на альтернативних </w:t>
      </w:r>
      <w:r w:rsidR="00B36AE4" w:rsidRPr="00C74032">
        <w:rPr>
          <w:rFonts w:ascii="Times New Roman" w:hAnsi="Times New Roman" w:cs="Times New Roman"/>
          <w:sz w:val="24"/>
          <w:szCs w:val="24"/>
          <w:lang w:val="uk-UA"/>
        </w:rPr>
        <w:t>джерелах енергії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У Німеччині діє програма стимулювання інвестицій, що дозволяє знизити процен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тну ставку на 4% (на 6% 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в економічно відсталих районах) для довгострокових кредитів. У рамках цієї програми можна також одержати пільгову державну позику (1%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річних у рахунок погашення 3,5% на будівництво житлових будинків й інших споруджень) . Відсоток за кредит в іпотечних банках країн ЄС становить 4,5-6,5%, у Голландії - 5-7%, у Німеччи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ні </w:t>
      </w:r>
      <w:r w:rsidR="00E165E0" w:rsidRPr="00C74032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6-8,5% (пільговий - 1%)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38B5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У всіх країнах з розвиненою економікою існують програми по страхуванню врожаю. Система компенсаційних платежів з державного бюджету страхує фермерів на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випадок несприятливих погодн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их умов, повеней, епідемій тощо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 Також існують бюджетні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платежі, пов’язані з “регіональною підтримкою”, завдяки яким у фермерів з’являється</w:t>
      </w:r>
      <w:r w:rsidR="004024DE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можливість ведення сільськогосподарського виробництва на розширеній основі в зонах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з несприятливими погодними умовами.</w:t>
      </w:r>
    </w:p>
    <w:p w:rsidR="00713E4F" w:rsidRPr="00C74032" w:rsidRDefault="006338B5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lastRenderedPageBreak/>
        <w:t>Фермери Франції одержують субсидії на підвищення ефективності виробництва,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поліпшення умов життя, під виведення орних земель із сільськогосподарського виробництва, на підтримку родючості земель, компенсаційні виплати за роботу в районах з неспр</w:t>
      </w:r>
      <w:r w:rsidR="005F0FFF" w:rsidRPr="00C74032">
        <w:rPr>
          <w:rFonts w:ascii="Times New Roman" w:hAnsi="Times New Roman" w:cs="Times New Roman"/>
          <w:sz w:val="24"/>
          <w:szCs w:val="24"/>
          <w:lang w:val="uk-UA"/>
        </w:rPr>
        <w:t>иятливими природними умовами</w:t>
      </w:r>
      <w:r w:rsidR="00F13A16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[1]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2F28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6191" w:rsidRPr="00C74032" w:rsidRDefault="00372F28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В Україні 11 серпня 2014 року Верховною Радо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>ю було прийнято Закон України «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Про державну підтримку сільського господарства України», прийняття цього закону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це великий позитивний крок вперед у модернізації системи державного регулювання ціноутворення в агропромисловому комплексі. За цим законом об'єктами державного цінового регулювання є такі види сільськогосподарської продукції (товарів):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 xml:space="preserve">пшениця тверда;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пшениця м'яка; зерно суміші пшениці та жита (</w:t>
      </w:r>
      <w:proofErr w:type="spellStart"/>
      <w:r w:rsidRPr="00C74032">
        <w:rPr>
          <w:rFonts w:ascii="Times New Roman" w:hAnsi="Times New Roman" w:cs="Times New Roman"/>
          <w:sz w:val="24"/>
          <w:szCs w:val="24"/>
          <w:lang w:val="uk-UA"/>
        </w:rPr>
        <w:t>меслин</w:t>
      </w:r>
      <w:proofErr w:type="spellEnd"/>
      <w:r w:rsidRPr="00C74032">
        <w:rPr>
          <w:rFonts w:ascii="Times New Roman" w:hAnsi="Times New Roman" w:cs="Times New Roman"/>
          <w:sz w:val="24"/>
          <w:szCs w:val="24"/>
          <w:lang w:val="uk-UA"/>
        </w:rPr>
        <w:t>); кукурудза; ячмін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ь; 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 xml:space="preserve">жито озиме; </w:t>
      </w:r>
      <w:r w:rsidR="00D249AB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жито ярове;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горох; гречка; просо; овес; соя; насіння с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 xml:space="preserve">оняшнику; </w:t>
      </w:r>
      <w:r w:rsidR="005D6191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насіння ріпаку; насіння льону; шишки хмелю;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цукор-пісок (буряковий); борошно пшеничне; борошно житнє; м'ясо та субпро</w:t>
      </w:r>
      <w:r w:rsidR="005D6191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дукти забійних тварин та птиці; молоко сухе; </w:t>
      </w:r>
      <w:r w:rsidR="00732FF1" w:rsidRPr="00C74032">
        <w:rPr>
          <w:rFonts w:ascii="Times New Roman" w:hAnsi="Times New Roman" w:cs="Times New Roman"/>
          <w:sz w:val="24"/>
          <w:szCs w:val="24"/>
          <w:lang w:val="uk-UA"/>
        </w:rPr>
        <w:t>ма</w:t>
      </w:r>
      <w:r w:rsidR="005D6191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сло вершкове; </w:t>
      </w:r>
      <w:r w:rsidR="00732FF1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олія </w:t>
      </w:r>
      <w:r w:rsidR="00B848EF" w:rsidRPr="00C74032">
        <w:rPr>
          <w:rFonts w:ascii="Times New Roman" w:hAnsi="Times New Roman" w:cs="Times New Roman"/>
          <w:sz w:val="24"/>
          <w:szCs w:val="24"/>
          <w:lang w:val="uk-UA"/>
        </w:rPr>
        <w:t>соняшникова</w:t>
      </w:r>
      <w:r w:rsidR="00732FF1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48EF" w:rsidRPr="00C74032">
        <w:rPr>
          <w:rFonts w:ascii="Times New Roman" w:hAnsi="Times New Roman" w:cs="Times New Roman"/>
          <w:sz w:val="24"/>
          <w:szCs w:val="24"/>
          <w:lang w:val="uk-UA"/>
        </w:rPr>
        <w:t>[5].</w:t>
      </w:r>
    </w:p>
    <w:p w:rsidR="00732FF1" w:rsidRPr="00C74032" w:rsidRDefault="00732FF1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Об'єктами бюджетної дотації є: велика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 xml:space="preserve"> рогата худоба; свині; вівці;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коні; птиця свійська; к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 xml:space="preserve">ролі; молоко незбиране екстра,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>вищого, першого та другого ґатунків (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 xml:space="preserve">не  піддане будь-якій обробці, 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переробці чи пакуванню для потреб подальшого продажу); вовна стрижена; кокони тутового </w:t>
      </w:r>
      <w:r w:rsidR="00C74032">
        <w:rPr>
          <w:rFonts w:ascii="Times New Roman" w:hAnsi="Times New Roman" w:cs="Times New Roman"/>
          <w:sz w:val="24"/>
          <w:szCs w:val="24"/>
          <w:lang w:val="uk-UA"/>
        </w:rPr>
        <w:t>шовкопряда;</w:t>
      </w:r>
      <w:r w:rsidR="00B848E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мед натуральний</w:t>
      </w:r>
      <w:r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48EF" w:rsidRPr="00C74032">
        <w:rPr>
          <w:rFonts w:ascii="Times New Roman" w:hAnsi="Times New Roman" w:cs="Times New Roman"/>
          <w:sz w:val="24"/>
          <w:szCs w:val="24"/>
          <w:lang w:val="uk-UA"/>
        </w:rPr>
        <w:t>[5].</w:t>
      </w:r>
    </w:p>
    <w:p w:rsidR="00732FF1" w:rsidRPr="00C74032" w:rsidRDefault="00D32284" w:rsidP="00C7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t>Також важливою складовою державного регулювання є фінансування сільського господарства</w:t>
      </w:r>
      <w:r w:rsidR="00B848EF" w:rsidRPr="00C74032">
        <w:rPr>
          <w:rFonts w:ascii="Times New Roman" w:hAnsi="Times New Roman" w:cs="Times New Roman"/>
          <w:sz w:val="24"/>
          <w:szCs w:val="24"/>
        </w:rPr>
        <w:t xml:space="preserve"> (</w:t>
      </w:r>
      <w:r w:rsidR="00B848EF" w:rsidRPr="00C74032">
        <w:rPr>
          <w:rFonts w:ascii="Times New Roman" w:hAnsi="Times New Roman" w:cs="Times New Roman"/>
          <w:sz w:val="24"/>
          <w:szCs w:val="24"/>
          <w:lang w:val="uk-UA"/>
        </w:rPr>
        <w:t xml:space="preserve">Таблиця 1) </w:t>
      </w:r>
      <w:r w:rsidR="00B848EF" w:rsidRPr="00C74032">
        <w:rPr>
          <w:rFonts w:ascii="Times New Roman" w:hAnsi="Times New Roman" w:cs="Times New Roman"/>
          <w:sz w:val="24"/>
          <w:szCs w:val="24"/>
        </w:rPr>
        <w:t>[6]</w:t>
      </w:r>
      <w:r w:rsidR="0056251B" w:rsidRPr="00C740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72D8" w:rsidRPr="003672D8" w:rsidRDefault="003672D8" w:rsidP="00367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t>Основними причинами неефективного використання коштів державного бюджету, які виділяються на підтримку АПК, є недосконалість механізмів отримання і розподілу бюджетних коштів та порушення бюджетної дисципліни при їх використанні. Щорічна зміна порядку та механізмів виділення коштів з державного бюджету, їх громіздкість, запізніле затвердження та внесення до них неодноразових змін протягом періоду спричиняє несвоєчасне отримання коштів державної фінансової підтримки та неефективне їх використання і повернення.</w:t>
      </w:r>
    </w:p>
    <w:p w:rsidR="003672D8" w:rsidRPr="003672D8" w:rsidRDefault="003672D8" w:rsidP="003672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в процесі дослідження встановлено, що для ефективного розвитку сільськогосподарського виробництва в Україні та підвищення його конкурентоздатності перш за все необхідно впорядкувати процес державного фінансування сільського господарства, забезпечити його значне зростання та ефективність використання, що відповідає як принципам ринкової економіки, так і підходам до державного стимулювання сільськогосподарського виробництва в інших країнах. Впорядкування потребує механізм прямої державної підтримки сільського господарства. Бюджетні дотації і компенсації потрібно виплачувати насамперед ефективно господарюючим товаровиробникам, а основну масу коштів потрібно спрямовувати на фінансування програм, здатних забезпечити сталий розвиток сільського господарства. </w:t>
      </w:r>
    </w:p>
    <w:p w:rsidR="003672D8" w:rsidRPr="003672D8" w:rsidRDefault="003672D8" w:rsidP="00367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t>Для того щоб українські виробники сільськогосподарської продукції змогли вільно конкурувати на світовому ринку, їм потрібно провести повну модернізацію технологій і техніки що приймають участь у виробництві. Також модернізувати системи формування цін, щоб вона була спрямована не лише на отримання прибутку, але й для довгострокового планування та формування цін.</w:t>
      </w:r>
    </w:p>
    <w:p w:rsidR="003672D8" w:rsidRPr="003672D8" w:rsidRDefault="003672D8" w:rsidP="00367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t>Держава в свою чергу повинна виділяти кошти для інноваційних досліджень в аграрному секторі, реформувати систему регулювання цін, підтримувати не тільки конкурентоспроможні підприємства, а й ті які тільки формуються, забезпечити підприємства пільговими кредитами. Всі ці заходи в сукупності здатні підвищити конкурентоспроможність вітчизняних товаровиробників на світовому ринку сільськогосподарської продукції.</w:t>
      </w:r>
    </w:p>
    <w:p w:rsidR="003672D8" w:rsidRPr="003672D8" w:rsidRDefault="003672D8" w:rsidP="00367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2743" w:rsidRPr="00C6780E" w:rsidRDefault="00FF2743" w:rsidP="00C7403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672D8" w:rsidRPr="00C6780E" w:rsidRDefault="003672D8" w:rsidP="00C7403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672D8" w:rsidRPr="00C6780E" w:rsidRDefault="003672D8" w:rsidP="00C7403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6251B" w:rsidRPr="00C74032" w:rsidRDefault="0056251B" w:rsidP="00C7403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403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Таблиця1 </w:t>
      </w:r>
    </w:p>
    <w:p w:rsidR="0056251B" w:rsidRPr="00C74032" w:rsidRDefault="0056251B" w:rsidP="00C740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40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Порівняння видатків Держбюджету на аграрну сферу в 2012–2014 рр.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992"/>
        <w:gridCol w:w="1134"/>
        <w:gridCol w:w="1134"/>
        <w:gridCol w:w="1701"/>
      </w:tblGrid>
      <w:tr w:rsidR="005D6191" w:rsidRPr="00C74032" w:rsidTr="003672D8">
        <w:trPr>
          <w:trHeight w:val="294"/>
        </w:trPr>
        <w:tc>
          <w:tcPr>
            <w:tcW w:w="4693" w:type="dxa"/>
            <w:vMerge w:val="restart"/>
            <w:vAlign w:val="center"/>
            <w:hideMark/>
          </w:tcPr>
          <w:p w:rsidR="005D6191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6AE4">
              <w:rPr>
                <w:rFonts w:ascii="Times New Roman" w:eastAsia="Times New Roman" w:hAnsi="Times New Roman" w:cs="Times New Roman"/>
                <w:color w:val="4B4B4B"/>
                <w:lang w:val="uk-UA" w:eastAsia="ru-RU"/>
              </w:rPr>
              <w:t> </w:t>
            </w:r>
            <w:r w:rsidR="005D6191"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Найменування згідно з відомчою та програмною класифікаціями видатків і кредитування державного бюджету</w:t>
            </w:r>
          </w:p>
        </w:tc>
        <w:tc>
          <w:tcPr>
            <w:tcW w:w="4961" w:type="dxa"/>
            <w:gridSpan w:val="4"/>
            <w:vAlign w:val="center"/>
            <w:hideMark/>
          </w:tcPr>
          <w:p w:rsidR="005D6191" w:rsidRPr="00C74032" w:rsidRDefault="005D6191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Разом загальний і спеціальний фонди, </w:t>
            </w:r>
            <w:r w:rsidR="003672D8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млн.</w:t>
            </w: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</w:t>
            </w:r>
            <w:r w:rsidR="003672D8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грн.</w:t>
            </w:r>
          </w:p>
        </w:tc>
      </w:tr>
      <w:tr w:rsidR="00C74032" w:rsidRPr="00C74032" w:rsidTr="003672D8">
        <w:trPr>
          <w:trHeight w:val="542"/>
        </w:trPr>
        <w:tc>
          <w:tcPr>
            <w:tcW w:w="4693" w:type="dxa"/>
            <w:vMerge/>
            <w:vAlign w:val="center"/>
          </w:tcPr>
          <w:p w:rsidR="00C74032" w:rsidRPr="00C74032" w:rsidRDefault="00C74032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C74032" w:rsidRPr="00C74032" w:rsidRDefault="00C74032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2012 р.</w:t>
            </w:r>
          </w:p>
        </w:tc>
        <w:tc>
          <w:tcPr>
            <w:tcW w:w="1134" w:type="dxa"/>
            <w:vAlign w:val="center"/>
          </w:tcPr>
          <w:p w:rsidR="00C74032" w:rsidRPr="00C74032" w:rsidRDefault="00C74032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2013 р.</w:t>
            </w:r>
          </w:p>
        </w:tc>
        <w:tc>
          <w:tcPr>
            <w:tcW w:w="1134" w:type="dxa"/>
            <w:vAlign w:val="center"/>
          </w:tcPr>
          <w:p w:rsidR="00C74032" w:rsidRPr="00C74032" w:rsidRDefault="00C74032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2014 р.</w:t>
            </w:r>
          </w:p>
        </w:tc>
        <w:tc>
          <w:tcPr>
            <w:tcW w:w="1701" w:type="dxa"/>
            <w:vAlign w:val="center"/>
          </w:tcPr>
          <w:p w:rsidR="00C74032" w:rsidRPr="00C74032" w:rsidRDefault="00C74032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Рівень видатків</w:t>
            </w:r>
          </w:p>
          <w:p w:rsidR="00C74032" w:rsidRPr="00C74032" w:rsidRDefault="00C74032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2014 р. до 2013, %</w:t>
            </w:r>
          </w:p>
        </w:tc>
      </w:tr>
      <w:tr w:rsidR="00E10DDA" w:rsidRPr="00C74032" w:rsidTr="003672D8">
        <w:tc>
          <w:tcPr>
            <w:tcW w:w="4693" w:type="dxa"/>
            <w:vAlign w:val="center"/>
          </w:tcPr>
          <w:p w:rsidR="00E10DDA" w:rsidRPr="00C74032" w:rsidRDefault="00E10DDA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10DDA" w:rsidRPr="00C74032" w:rsidRDefault="00E10DDA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10DDA" w:rsidRPr="00C74032" w:rsidRDefault="00E10DDA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10DDA" w:rsidRPr="00C74032" w:rsidRDefault="00E10DDA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10DDA" w:rsidRPr="00C74032" w:rsidRDefault="00E10DDA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D6191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8451</w:t>
            </w:r>
            <w:r w:rsidR="0056251B"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341,4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D6191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8313</w:t>
            </w:r>
            <w:r w:rsidR="0056251B"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533,7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8 511 173,1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102,38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Апарат Міністерства аграрної політики та продовольства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4 780 528,1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4 599 484,1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val="uk-UA" w:eastAsia="ru-RU"/>
              </w:rPr>
              <w:t>4 883 181,7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106,17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Загальне керівництво та управління у сфері агропромислового комплексу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40050,6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39757,8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49775,8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125,20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Дослідження, прикладні наукові та науково-технічні розробки, виконання робіт за державними цільовими програмами та державним замовленням у сфері розвитку агропромислового комплексу, підготовка наукових кадрів, наукові розробки у сфері стандартизації та сертифікації сільськогосподарської продукції, дослідження та експериментальні розробки у сфері агропромислового комплексу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166387,3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117578,3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107292,3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91,25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Оздоровлення та відпочинок дітей працівників агропромислового комплексу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100 00,0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7500,0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кадрів для агропромислового комплексу вищими навчальними закладами І–ІІ рівнів акредитації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125361,6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1107240,2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968484,7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87,47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кадрів для агропромислового комплексу вищими навчальними закладами ІІІ–ІV рівнів акредитації, методичне забезпечення діяльності навчальних закладів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506267,6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1399943,3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1349101,4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96,37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Підготовка, перепідготовка, підвищення кваліфікації робітничих кадрів, підвищення кваліфікації фахівців агропромислового комплексу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35095,8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39735,0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21875,0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55,01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36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Ліквідація та екологічна реабілітація території впливу гірничих робіт державного підприємства «</w:t>
            </w:r>
            <w:proofErr w:type="spellStart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Солотвинський</w:t>
            </w:r>
            <w:proofErr w:type="spellEnd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солерудник</w:t>
            </w:r>
            <w:proofErr w:type="spellEnd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Тячівського району Закарпатської області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17764,7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17764,7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Фінансова підтримка заходів в агропромисловому комплексі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827376,3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96777,9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206777,9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213,67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Заходи з боротьби зі шкідниками та хворобами сільськогосподарських рослин, запобігання розповсюдженню збудників інфекційних хвороб тварин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12750,0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Аграрного фонду, пов’язані з комплексом заходів зі зберігання, перевезення, переробки та експортом об’єктів державного цінового регулювання державного інтервенційного фонду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765500,0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300000,0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60,00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державних виставкових заходів у сфері агропромислового комплексу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3750,0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1875,0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Реформування та розвиток комунального господарства у сільській місцевості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6650,0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5985,0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90,00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Організація та регулювання діяльності установ у системі агропромислового комплексу та забезпечення діяльності Аграрного фонду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25588,9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24339,1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24814,3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101,95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Державна підтримка розвитку хмелярства, закладення молодих садів, виноградників та ягідників і нагляд за ними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1075000,0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700000,0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2013 році видатки не закладалися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Часткова компенсація вартості електроенергії, використаної для поливу на зрошуваних землях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–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Підготовка кадрів для агропромислового комплексу вищими навчальними закладами III–IV рівнів акредитації Національного університету біоресурсів і природокористування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544748,0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Фінансова підтримка Української лабораторії якості та безпеки продукції агропромислового комплексу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9199,8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 Державного земельного банку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–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Державна підтримка Всеукраїнського фізкультурно-спортивного товариства «Колос» на організацію та проведення роботи з розвитку фізичної культури і спорту серед сільського населення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9185,6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102,06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Фінансова підтримка створення оптових ринків сільськогосподарської продукції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200 000,0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200 000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Державна підтримка галузі тваринництва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732000,0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650000,0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900000,0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138,46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Державна ветеринарна та </w:t>
            </w:r>
            <w:proofErr w:type="spellStart"/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фітосанітарна</w:t>
            </w:r>
            <w:proofErr w:type="spellEnd"/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служба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1916038,3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2231147,2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2282841,6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102,32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Керівництво й управління у сфері ветеринарної медицини та </w:t>
            </w:r>
            <w:proofErr w:type="spellStart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фітосанітарної</w:t>
            </w:r>
            <w:proofErr w:type="spellEnd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служби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300747,0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297058,5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369846,3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124,50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Протиепізоотичні заходи та участь у Міжнародному епізоотичному бюро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103752,0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103214,1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100155,6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97,04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Організація та регулювання діяльності установ у системі Державної ветеринарної та </w:t>
            </w:r>
            <w:proofErr w:type="spellStart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фітосанітарної</w:t>
            </w:r>
            <w:proofErr w:type="spellEnd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служби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1511391,7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1830724,6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812764,7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99,02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Участь у міжнародному союзі з охорони нових сортів рослин (УПОВ)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147,6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Державне агентство земельних ресурсів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1198419,0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903716,8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791980,3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87,64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Керівництво й управління у сфері земельних ресурсів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868619,8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607155,4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549791,8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90,55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земельної реформи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96432,0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221777,1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221 463,5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99,86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Загальнодержавні топографо-геодезичні та картографічні роботи, демаркація та делімітація державного кордону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20725,0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20725,0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Видача державних актів на право приватної власності на землю в сільській місцевості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233367,2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54059,3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Державне агентство рибного господарства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210048,8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252469,1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257978,2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102,18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Керівництво та управління у сфері рибного господарства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91644,4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104980,6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103713,3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98,79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Організація діяльності органів рибоохорони та </w:t>
            </w:r>
            <w:proofErr w:type="spellStart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рибовідтворювальних</w:t>
            </w:r>
            <w:proofErr w:type="spellEnd"/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комплексів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58697,7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44972,1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41385,0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92.02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Прикладні наукові та науково-технічні розробки, виконання робіт за державними цільовими програмами і державним замовленням у сфері рибного господарства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3556,2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2372,5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1186,2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49,999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кадрів у сфері рибного господарства вищими навчальними закладами І–ІІ рівнів акредитації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45056,9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49337,6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109,50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кадрів у сфері рибного господарства вищими навчальними закладами ІІІ–ІV рівнів акредитації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40332,0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37478,6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92,93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Селекція у рибному господарстві та відтворення водних біоресурсів у внутрішніх водоймах та Азово-Чорноморському басейні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54080,0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13000,0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24000,0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184,62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Міжнародна діяльність у галузі рибного господарства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2070,5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1755,0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877,5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50,00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Державна інспекція сільського господарства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346307,2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326716,5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295191,3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90,35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Здійснення державного контролю у галузі сільського господарства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322476,2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276645,1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273239,8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98,77</w:t>
            </w:r>
          </w:p>
        </w:tc>
      </w:tr>
      <w:tr w:rsidR="0056251B" w:rsidRPr="00C74032" w:rsidTr="003672D8">
        <w:tc>
          <w:tcPr>
            <w:tcW w:w="4693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Організація та регулювання діяльності установ в системі Державної інспекції сільського господарства України</w:t>
            </w:r>
          </w:p>
        </w:tc>
        <w:tc>
          <w:tcPr>
            <w:tcW w:w="992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23831,0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50071,4</w:t>
            </w:r>
          </w:p>
        </w:tc>
        <w:tc>
          <w:tcPr>
            <w:tcW w:w="1134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21951,5</w:t>
            </w:r>
          </w:p>
        </w:tc>
        <w:tc>
          <w:tcPr>
            <w:tcW w:w="1701" w:type="dxa"/>
            <w:vAlign w:val="center"/>
            <w:hideMark/>
          </w:tcPr>
          <w:p w:rsidR="0056251B" w:rsidRPr="00C74032" w:rsidRDefault="0056251B" w:rsidP="00C7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740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43,94</w:t>
            </w:r>
          </w:p>
        </w:tc>
      </w:tr>
    </w:tbl>
    <w:p w:rsidR="00B511D5" w:rsidRPr="003672D8" w:rsidRDefault="00FF2743" w:rsidP="00C74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lastRenderedPageBreak/>
        <w:t>Л</w:t>
      </w:r>
      <w:r w:rsidR="00B511D5" w:rsidRPr="003672D8">
        <w:rPr>
          <w:rFonts w:ascii="Times New Roman" w:hAnsi="Times New Roman" w:cs="Times New Roman"/>
          <w:sz w:val="24"/>
          <w:szCs w:val="24"/>
          <w:lang w:val="uk-UA"/>
        </w:rPr>
        <w:t>ітература</w:t>
      </w:r>
      <w:r w:rsidR="00B36AE4" w:rsidRPr="003672D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6CFD" w:rsidRPr="003672D8" w:rsidRDefault="008A6CFD" w:rsidP="003672D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72D8">
        <w:rPr>
          <w:rFonts w:ascii="Times New Roman" w:hAnsi="Times New Roman" w:cs="Times New Roman"/>
          <w:sz w:val="24"/>
          <w:szCs w:val="24"/>
          <w:lang w:val="uk-UA"/>
        </w:rPr>
        <w:t>Майстро</w:t>
      </w:r>
      <w:proofErr w:type="spellEnd"/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С. В. Напрями державної підтримки аграрного сектора та її вплив на конкурентоспроможність продукції на світовому ринку [Електр</w:t>
      </w:r>
      <w:r w:rsidR="00F13A16"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онний ресурс]: / С.В. </w:t>
      </w:r>
      <w:proofErr w:type="spellStart"/>
      <w:r w:rsidR="00F13A16" w:rsidRPr="003672D8">
        <w:rPr>
          <w:rFonts w:ascii="Times New Roman" w:hAnsi="Times New Roman" w:cs="Times New Roman"/>
          <w:sz w:val="24"/>
          <w:szCs w:val="24"/>
          <w:lang w:val="uk-UA"/>
        </w:rPr>
        <w:t>Майстро</w:t>
      </w:r>
      <w:proofErr w:type="spellEnd"/>
      <w:r w:rsidR="00F13A16"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13A16" w:rsidRPr="003672D8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="00F13A16"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</w:t>
      </w:r>
      <w:hyperlink r:id="rId8" w:history="1">
        <w:r w:rsidRPr="003672D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http://www.academy.gov.ua/ej/ej2/txts/galuz/05msvpsr.pdf</w:t>
        </w:r>
      </w:hyperlink>
      <w:r w:rsidRPr="003672D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6CFD" w:rsidRPr="003672D8" w:rsidRDefault="008A6CFD" w:rsidP="003672D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Швайка Л. А. Державне регулювання економіки: </w:t>
      </w:r>
      <w:proofErr w:type="spellStart"/>
      <w:r w:rsidRPr="003672D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72D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. / Л. А. Швайка. </w:t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К.: Знання, 2006.- 435 c.</w:t>
      </w:r>
    </w:p>
    <w:p w:rsidR="00F13A16" w:rsidRPr="003672D8" w:rsidRDefault="00F13A16" w:rsidP="003672D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72D8">
        <w:rPr>
          <w:rFonts w:ascii="Times New Roman" w:hAnsi="Times New Roman" w:cs="Times New Roman"/>
          <w:sz w:val="24"/>
          <w:szCs w:val="24"/>
          <w:lang w:val="uk-UA"/>
        </w:rPr>
        <w:t>Ульянченко</w:t>
      </w:r>
      <w:proofErr w:type="spellEnd"/>
      <w:r w:rsidRPr="003672D8">
        <w:rPr>
          <w:rFonts w:ascii="Times New Roman" w:hAnsi="Times New Roman" w:cs="Times New Roman"/>
          <w:sz w:val="24"/>
          <w:szCs w:val="24"/>
        </w:rPr>
        <w:t xml:space="preserve"> </w:t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Ю. О. Державне регулювання аграрного ринку в країнах ЄС і США: досвід для України [Електронний ресурс]: / Ю. О. </w:t>
      </w:r>
      <w:proofErr w:type="spellStart"/>
      <w:r w:rsidRPr="003672D8">
        <w:rPr>
          <w:rFonts w:ascii="Times New Roman" w:hAnsi="Times New Roman" w:cs="Times New Roman"/>
          <w:sz w:val="24"/>
          <w:szCs w:val="24"/>
          <w:lang w:val="uk-UA"/>
        </w:rPr>
        <w:t>Ульянченко</w:t>
      </w:r>
      <w:proofErr w:type="spellEnd"/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Режим доступу: </w:t>
      </w:r>
      <w:hyperlink r:id="rId9" w:history="1">
        <w:r w:rsidRPr="003672D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http://kbuapa.kharkov.ua/e-book/db/2007-2/doc/5/05.pdf</w:t>
        </w:r>
      </w:hyperlink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13A16" w:rsidRPr="003672D8" w:rsidRDefault="00F13A16" w:rsidP="003672D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72D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І. В. Сучасний стан та оцінка кредитування сільського господарства України [Електронний ресурс]: / І. В. </w:t>
      </w:r>
      <w:proofErr w:type="spellStart"/>
      <w:r w:rsidRPr="003672D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Режим доступу: </w:t>
      </w:r>
      <w:hyperlink r:id="rId10" w:history="1">
        <w:r w:rsidRPr="003672D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http://www.economy.nayka.com.ua/?op=1&amp;z=1667</w:t>
        </w:r>
      </w:hyperlink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13A16" w:rsidRPr="003672D8" w:rsidRDefault="00B848EF" w:rsidP="003672D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Закон України „ Про державну підтримку сільського господарства України" [Електронний ресурс]. - Режим доступу: </w:t>
      </w:r>
      <w:hyperlink r:id="rId11" w:history="1">
        <w:r w:rsidRPr="003672D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http://zakon2.rada.gov.ua/laws/show/1877-15</w:t>
        </w:r>
      </w:hyperlink>
      <w:r w:rsidRPr="00367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8EF" w:rsidRPr="003672D8" w:rsidRDefault="00B848EF" w:rsidP="003672D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2D8">
        <w:rPr>
          <w:rFonts w:ascii="Times New Roman" w:hAnsi="Times New Roman" w:cs="Times New Roman"/>
          <w:sz w:val="24"/>
          <w:szCs w:val="24"/>
          <w:lang w:val="uk-UA"/>
        </w:rPr>
        <w:t>Аграрний бюджет — 2014</w:t>
      </w:r>
      <w:r w:rsidRPr="003672D8">
        <w:rPr>
          <w:rFonts w:ascii="Times New Roman" w:hAnsi="Times New Roman" w:cs="Times New Roman"/>
          <w:sz w:val="24"/>
          <w:szCs w:val="24"/>
        </w:rPr>
        <w:t xml:space="preserve">. </w:t>
      </w:r>
      <w:r w:rsidRPr="003672D8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3672D8">
        <w:rPr>
          <w:rFonts w:ascii="Times New Roman" w:hAnsi="Times New Roman" w:cs="Times New Roman"/>
          <w:sz w:val="24"/>
          <w:szCs w:val="24"/>
        </w:rPr>
        <w:t xml:space="preserve"> </w:t>
      </w:r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Режим доступу: </w:t>
      </w:r>
      <w:hyperlink r:id="rId12" w:history="1">
        <w:r w:rsidRPr="003672D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http://www.agrotimes.net/journals/article/agrarnij-byudzhet--2014</w:t>
        </w:r>
      </w:hyperlink>
      <w:r w:rsidRPr="003672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8EF" w:rsidRPr="003672D8" w:rsidRDefault="00B848EF" w:rsidP="00C7403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48EF" w:rsidRPr="003672D8" w:rsidSect="0017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DE" w:rsidRDefault="00C15DDE" w:rsidP="00FF2743">
      <w:pPr>
        <w:spacing w:after="0" w:line="240" w:lineRule="auto"/>
      </w:pPr>
      <w:r>
        <w:separator/>
      </w:r>
    </w:p>
  </w:endnote>
  <w:endnote w:type="continuationSeparator" w:id="0">
    <w:p w:rsidR="00C15DDE" w:rsidRDefault="00C15DDE" w:rsidP="00FF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DE" w:rsidRDefault="00C15DDE" w:rsidP="00FF2743">
      <w:pPr>
        <w:spacing w:after="0" w:line="240" w:lineRule="auto"/>
      </w:pPr>
      <w:r>
        <w:separator/>
      </w:r>
    </w:p>
  </w:footnote>
  <w:footnote w:type="continuationSeparator" w:id="0">
    <w:p w:rsidR="00C15DDE" w:rsidRDefault="00C15DDE" w:rsidP="00FF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771C1"/>
    <w:multiLevelType w:val="hybridMultilevel"/>
    <w:tmpl w:val="8D5C7BB6"/>
    <w:lvl w:ilvl="0" w:tplc="93E0A3D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81B75"/>
    <w:multiLevelType w:val="hybridMultilevel"/>
    <w:tmpl w:val="16CC0BA8"/>
    <w:lvl w:ilvl="0" w:tplc="126C1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017F6"/>
    <w:multiLevelType w:val="hybridMultilevel"/>
    <w:tmpl w:val="F21A8994"/>
    <w:lvl w:ilvl="0" w:tplc="89423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6C"/>
    <w:rsid w:val="0007056C"/>
    <w:rsid w:val="00140C82"/>
    <w:rsid w:val="00177334"/>
    <w:rsid w:val="001E2BBA"/>
    <w:rsid w:val="00292634"/>
    <w:rsid w:val="002930B1"/>
    <w:rsid w:val="003402D0"/>
    <w:rsid w:val="003672D8"/>
    <w:rsid w:val="00372F28"/>
    <w:rsid w:val="003D2FDD"/>
    <w:rsid w:val="004024DE"/>
    <w:rsid w:val="004125DF"/>
    <w:rsid w:val="004645BC"/>
    <w:rsid w:val="00541C2C"/>
    <w:rsid w:val="0056251B"/>
    <w:rsid w:val="00571F0D"/>
    <w:rsid w:val="005D6191"/>
    <w:rsid w:val="005D7D4C"/>
    <w:rsid w:val="005F0FFF"/>
    <w:rsid w:val="006338B5"/>
    <w:rsid w:val="00713E4F"/>
    <w:rsid w:val="00732FF1"/>
    <w:rsid w:val="008355A9"/>
    <w:rsid w:val="00874B7F"/>
    <w:rsid w:val="008A6CFD"/>
    <w:rsid w:val="00967B0E"/>
    <w:rsid w:val="00A829C0"/>
    <w:rsid w:val="00A90C47"/>
    <w:rsid w:val="00B36AE4"/>
    <w:rsid w:val="00B511D5"/>
    <w:rsid w:val="00B848EF"/>
    <w:rsid w:val="00B955B4"/>
    <w:rsid w:val="00C15DDE"/>
    <w:rsid w:val="00C6780E"/>
    <w:rsid w:val="00C74032"/>
    <w:rsid w:val="00CC7524"/>
    <w:rsid w:val="00D249AB"/>
    <w:rsid w:val="00D32284"/>
    <w:rsid w:val="00DA3EBD"/>
    <w:rsid w:val="00DA6C45"/>
    <w:rsid w:val="00E10DDA"/>
    <w:rsid w:val="00E165E0"/>
    <w:rsid w:val="00EA24CA"/>
    <w:rsid w:val="00EE3CEE"/>
    <w:rsid w:val="00F13A16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34"/>
  </w:style>
  <w:style w:type="paragraph" w:styleId="1">
    <w:name w:val="heading 1"/>
    <w:basedOn w:val="a"/>
    <w:next w:val="a"/>
    <w:link w:val="10"/>
    <w:uiPriority w:val="9"/>
    <w:qFormat/>
    <w:rsid w:val="00967B0E"/>
    <w:pPr>
      <w:keepNext/>
      <w:keepLines/>
      <w:widowControl w:val="0"/>
      <w:autoSpaceDE w:val="0"/>
      <w:autoSpaceDN w:val="0"/>
      <w:adjustRightInd w:val="0"/>
      <w:spacing w:before="360" w:after="0" w:line="240" w:lineRule="auto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7B0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Theme="majorEastAsia" w:hAnsi="Times New Roman" w:cstheme="majorBidi"/>
      <w:bCs/>
      <w:color w:val="4F81BD" w:themeColor="accent1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B0E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7B0E"/>
    <w:rPr>
      <w:rFonts w:ascii="Times New Roman" w:eastAsiaTheme="majorEastAsia" w:hAnsi="Times New Roman" w:cstheme="majorBidi"/>
      <w:bCs/>
      <w:color w:val="4F81BD" w:themeColor="accent1"/>
      <w:sz w:val="28"/>
      <w:szCs w:val="26"/>
      <w:lang w:eastAsia="ru-RU"/>
    </w:rPr>
  </w:style>
  <w:style w:type="character" w:styleId="a3">
    <w:name w:val="Hyperlink"/>
    <w:basedOn w:val="a0"/>
    <w:uiPriority w:val="99"/>
    <w:unhideWhenUsed/>
    <w:rsid w:val="00713E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02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4B7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B7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743"/>
  </w:style>
  <w:style w:type="paragraph" w:styleId="a9">
    <w:name w:val="footer"/>
    <w:basedOn w:val="a"/>
    <w:link w:val="aa"/>
    <w:uiPriority w:val="99"/>
    <w:unhideWhenUsed/>
    <w:rsid w:val="00FF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743"/>
  </w:style>
  <w:style w:type="paragraph" w:customStyle="1" w:styleId="ab">
    <w:name w:val="Знак"/>
    <w:basedOn w:val="a"/>
    <w:rsid w:val="004645BC"/>
    <w:pPr>
      <w:spacing w:after="160" w:line="240" w:lineRule="exact"/>
    </w:pPr>
    <w:rPr>
      <w:rFonts w:ascii="MS Sans Serif" w:eastAsia="Times New Roman" w:hAnsi="MS Sans Serif" w:cs="MS Sans Serif"/>
      <w:sz w:val="20"/>
      <w:szCs w:val="2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B0E"/>
    <w:pPr>
      <w:keepNext/>
      <w:keepLines/>
      <w:widowControl w:val="0"/>
      <w:autoSpaceDE w:val="0"/>
      <w:autoSpaceDN w:val="0"/>
      <w:adjustRightInd w:val="0"/>
      <w:spacing w:before="360" w:after="0" w:line="240" w:lineRule="auto"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7B0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Theme="majorEastAsia" w:hAnsi="Times New Roman" w:cstheme="majorBidi"/>
      <w:bCs/>
      <w:color w:val="4F81BD" w:themeColor="accent1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B0E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7B0E"/>
    <w:rPr>
      <w:rFonts w:ascii="Times New Roman" w:eastAsiaTheme="majorEastAsia" w:hAnsi="Times New Roman" w:cstheme="majorBidi"/>
      <w:bCs/>
      <w:color w:val="4F81BD" w:themeColor="accent1"/>
      <w:sz w:val="28"/>
      <w:szCs w:val="26"/>
      <w:lang w:eastAsia="ru-RU"/>
    </w:rPr>
  </w:style>
  <w:style w:type="character" w:styleId="a3">
    <w:name w:val="Hyperlink"/>
    <w:basedOn w:val="a0"/>
    <w:uiPriority w:val="99"/>
    <w:unhideWhenUsed/>
    <w:rsid w:val="00713E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02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4B7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B7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743"/>
  </w:style>
  <w:style w:type="paragraph" w:styleId="a9">
    <w:name w:val="footer"/>
    <w:basedOn w:val="a"/>
    <w:link w:val="aa"/>
    <w:uiPriority w:val="99"/>
    <w:unhideWhenUsed/>
    <w:rsid w:val="00FF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y.gov.ua/ej/ej2/txts/galuz/05msvpsr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grotimes.net/journals/article/agrarnij-byudzhet--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2.rada.gov.ua/laws/show/1877-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?op=1&amp;z=1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buapa.kharkov.ua/e-book/db/2007-2/doc/5/0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home1</dc:creator>
  <cp:lastModifiedBy>0оо</cp:lastModifiedBy>
  <cp:revision>5</cp:revision>
  <cp:lastPrinted>2014-11-16T22:08:00Z</cp:lastPrinted>
  <dcterms:created xsi:type="dcterms:W3CDTF">2014-11-18T05:17:00Z</dcterms:created>
  <dcterms:modified xsi:type="dcterms:W3CDTF">2014-11-18T09:24:00Z</dcterms:modified>
</cp:coreProperties>
</file>