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D5D" w:rsidRDefault="00BB2D20" w:rsidP="00AC78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BB2D20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 xml:space="preserve">Секція: </w:t>
      </w:r>
      <w:r w:rsidR="00AC78F6" w:rsidRPr="00AC78F6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Економіка та управління підприємствами (за видами економічної діяльності)</w:t>
      </w:r>
    </w:p>
    <w:p w:rsidR="00AC78F6" w:rsidRPr="00AC78F6" w:rsidRDefault="00AC78F6" w:rsidP="00AC78F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val="uk-UA"/>
        </w:rPr>
      </w:pPr>
    </w:p>
    <w:p w:rsidR="00BB2D20" w:rsidRDefault="00BB2D20" w:rsidP="00BB2D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2D2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СУЧАСНИЙ СТАН РОЗВИТКУ ХЛІБОПЕКАРСЬКОГО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Pr="00BB2D20">
        <w:rPr>
          <w:rFonts w:ascii="Times New Roman" w:hAnsi="Times New Roman" w:cs="Times New Roman"/>
          <w:b/>
          <w:sz w:val="28"/>
          <w:szCs w:val="28"/>
          <w:lang w:val="uk-UA"/>
        </w:rPr>
        <w:t>ВИРОБНИЦТВА В УКРАЇНІ</w:t>
      </w:r>
    </w:p>
    <w:p w:rsidR="00AC78F6" w:rsidRPr="00AC78F6" w:rsidRDefault="00AC78F6" w:rsidP="00BB2D20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BB2D20" w:rsidRPr="00BB2D20" w:rsidRDefault="00BB2D20" w:rsidP="00B22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B2D20">
        <w:rPr>
          <w:rFonts w:ascii="Times New Roman" w:hAnsi="Times New Roman" w:cs="Times New Roman"/>
          <w:b/>
          <w:sz w:val="24"/>
          <w:szCs w:val="24"/>
          <w:lang w:val="uk-UA"/>
        </w:rPr>
        <w:t>Чичуліна</w:t>
      </w:r>
      <w:proofErr w:type="spellEnd"/>
      <w:r w:rsidRPr="00BB2D2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Ксенія Вікторівна</w:t>
      </w:r>
    </w:p>
    <w:p w:rsidR="00BB2D20" w:rsidRPr="00BB2D20" w:rsidRDefault="00BB2D20" w:rsidP="00B22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B2D20">
        <w:rPr>
          <w:rFonts w:ascii="Times New Roman" w:hAnsi="Times New Roman" w:cs="Times New Roman"/>
          <w:sz w:val="24"/>
          <w:szCs w:val="24"/>
          <w:lang w:val="uk-UA"/>
        </w:rPr>
        <w:t>кандидат технічних наук,</w:t>
      </w:r>
    </w:p>
    <w:p w:rsidR="00BB2D20" w:rsidRPr="00BB2D20" w:rsidRDefault="00BB2D20" w:rsidP="00B22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B2D20">
        <w:rPr>
          <w:rFonts w:ascii="Times New Roman" w:hAnsi="Times New Roman" w:cs="Times New Roman"/>
          <w:sz w:val="24"/>
          <w:szCs w:val="24"/>
          <w:lang w:val="uk-UA"/>
        </w:rPr>
        <w:t>доцент кафедри економіки підприємства та управління персоналом</w:t>
      </w:r>
    </w:p>
    <w:p w:rsidR="00BB2D20" w:rsidRPr="00BB2D20" w:rsidRDefault="00BB2D20" w:rsidP="00B22D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B2D20">
        <w:rPr>
          <w:rFonts w:ascii="Times New Roman" w:hAnsi="Times New Roman" w:cs="Times New Roman"/>
          <w:b/>
          <w:sz w:val="24"/>
          <w:szCs w:val="24"/>
          <w:lang w:val="uk-UA"/>
        </w:rPr>
        <w:t>Павленко Анна Олександрівна</w:t>
      </w:r>
    </w:p>
    <w:p w:rsidR="00BB2D20" w:rsidRPr="00BB2D20" w:rsidRDefault="00BB2D20" w:rsidP="00B22D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BB2D20">
        <w:rPr>
          <w:rFonts w:ascii="Times New Roman" w:hAnsi="Times New Roman" w:cs="Times New Roman"/>
          <w:sz w:val="24"/>
          <w:szCs w:val="24"/>
          <w:lang w:val="uk-UA"/>
        </w:rPr>
        <w:t>студентка групи 9-ЕПпар</w:t>
      </w:r>
    </w:p>
    <w:p w:rsidR="00BB2D20" w:rsidRPr="00BB2D20" w:rsidRDefault="00BB2D20" w:rsidP="00B22D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B2D20">
        <w:rPr>
          <w:rFonts w:ascii="Times New Roman" w:hAnsi="Times New Roman"/>
          <w:sz w:val="24"/>
          <w:szCs w:val="24"/>
          <w:lang w:val="uk-UA" w:eastAsia="ru-RU"/>
        </w:rPr>
        <w:t>Полтавськ</w:t>
      </w:r>
      <w:r>
        <w:rPr>
          <w:rFonts w:ascii="Times New Roman" w:hAnsi="Times New Roman"/>
          <w:sz w:val="24"/>
          <w:szCs w:val="24"/>
          <w:lang w:val="uk-UA" w:eastAsia="ru-RU"/>
        </w:rPr>
        <w:t>ого</w:t>
      </w:r>
      <w:r w:rsidRPr="00BB2D20">
        <w:rPr>
          <w:rFonts w:ascii="Times New Roman" w:hAnsi="Times New Roman"/>
          <w:sz w:val="24"/>
          <w:szCs w:val="24"/>
          <w:lang w:val="uk-UA" w:eastAsia="ru-RU"/>
        </w:rPr>
        <w:t xml:space="preserve"> національн</w:t>
      </w:r>
      <w:r>
        <w:rPr>
          <w:rFonts w:ascii="Times New Roman" w:hAnsi="Times New Roman"/>
          <w:sz w:val="24"/>
          <w:szCs w:val="24"/>
          <w:lang w:val="uk-UA" w:eastAsia="ru-RU"/>
        </w:rPr>
        <w:t>ого</w:t>
      </w:r>
      <w:r w:rsidRPr="00BB2D20">
        <w:rPr>
          <w:rFonts w:ascii="Times New Roman" w:hAnsi="Times New Roman"/>
          <w:sz w:val="24"/>
          <w:szCs w:val="24"/>
          <w:lang w:val="uk-UA" w:eastAsia="ru-RU"/>
        </w:rPr>
        <w:t xml:space="preserve"> технічн</w:t>
      </w:r>
      <w:r>
        <w:rPr>
          <w:rFonts w:ascii="Times New Roman" w:hAnsi="Times New Roman"/>
          <w:sz w:val="24"/>
          <w:szCs w:val="24"/>
          <w:lang w:val="uk-UA" w:eastAsia="ru-RU"/>
        </w:rPr>
        <w:t>ого</w:t>
      </w:r>
      <w:r w:rsidRPr="00BB2D20">
        <w:rPr>
          <w:rFonts w:ascii="Times New Roman" w:hAnsi="Times New Roman"/>
          <w:sz w:val="24"/>
          <w:szCs w:val="24"/>
          <w:lang w:val="uk-UA" w:eastAsia="ru-RU"/>
        </w:rPr>
        <w:t xml:space="preserve"> університет</w:t>
      </w:r>
      <w:r>
        <w:rPr>
          <w:rFonts w:ascii="Times New Roman" w:hAnsi="Times New Roman"/>
          <w:sz w:val="24"/>
          <w:szCs w:val="24"/>
          <w:lang w:val="uk-UA" w:eastAsia="ru-RU"/>
        </w:rPr>
        <w:t>у</w:t>
      </w:r>
    </w:p>
    <w:p w:rsidR="00BB2D20" w:rsidRPr="00BB2D20" w:rsidRDefault="00BB2D20" w:rsidP="00B22D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 w:rsidRPr="00BB2D20">
        <w:rPr>
          <w:rFonts w:ascii="Times New Roman" w:hAnsi="Times New Roman"/>
          <w:sz w:val="24"/>
          <w:szCs w:val="24"/>
          <w:lang w:val="uk-UA" w:eastAsia="ru-RU"/>
        </w:rPr>
        <w:t>імені Юрія Кондратюка</w:t>
      </w:r>
    </w:p>
    <w:p w:rsidR="00BB2D20" w:rsidRPr="00BB2D20" w:rsidRDefault="00BB2D20" w:rsidP="00BB2D2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55FE" w:rsidRPr="001255FE" w:rsidRDefault="009628EC" w:rsidP="00B22D64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28EC">
        <w:rPr>
          <w:rFonts w:ascii="Times New Roman" w:hAnsi="Times New Roman" w:cs="Times New Roman"/>
          <w:sz w:val="28"/>
          <w:szCs w:val="28"/>
          <w:lang w:val="uk-UA"/>
        </w:rPr>
        <w:t>Хлібопекарська промисловість належить до однієї з найважливіших галузей харчової промисловості, рівень розвитку якої самим безпосереднім чином зачіпає життя всього населення.</w:t>
      </w:r>
      <w:r w:rsidR="001255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55FE" w:rsidRPr="001255FE">
        <w:rPr>
          <w:rFonts w:ascii="Times New Roman" w:hAnsi="Times New Roman" w:cs="Times New Roman"/>
          <w:sz w:val="28"/>
          <w:szCs w:val="28"/>
          <w:lang w:val="uk-UA"/>
        </w:rPr>
        <w:t>Виробництво хлібу є одним з основних видів діяль</w:t>
      </w:r>
      <w:r w:rsidR="001255FE">
        <w:rPr>
          <w:rFonts w:ascii="Times New Roman" w:hAnsi="Times New Roman" w:cs="Times New Roman"/>
          <w:sz w:val="28"/>
          <w:szCs w:val="28"/>
          <w:lang w:val="uk-UA"/>
        </w:rPr>
        <w:t>ності в харчовій промисловості</w:t>
      </w:r>
      <w:r w:rsidR="001255FE" w:rsidRPr="001255FE">
        <w:rPr>
          <w:rFonts w:ascii="Times New Roman" w:hAnsi="Times New Roman" w:cs="Times New Roman"/>
          <w:sz w:val="28"/>
          <w:szCs w:val="28"/>
          <w:lang w:val="uk-UA"/>
        </w:rPr>
        <w:t xml:space="preserve"> і забезпечує населення країни життєво значущими продуктами х</w:t>
      </w:r>
      <w:r w:rsidR="001255FE">
        <w:rPr>
          <w:rFonts w:ascii="Times New Roman" w:hAnsi="Times New Roman" w:cs="Times New Roman"/>
          <w:sz w:val="28"/>
          <w:szCs w:val="28"/>
          <w:lang w:val="uk-UA"/>
        </w:rPr>
        <w:t>арчування в необхідних обсягах,</w:t>
      </w:r>
      <w:r w:rsidR="001255FE" w:rsidRPr="001255FE">
        <w:rPr>
          <w:rFonts w:ascii="Times New Roman" w:hAnsi="Times New Roman" w:cs="Times New Roman"/>
          <w:sz w:val="28"/>
          <w:szCs w:val="28"/>
          <w:lang w:val="uk-UA"/>
        </w:rPr>
        <w:t xml:space="preserve"> асортименті та яко</w:t>
      </w:r>
      <w:r w:rsidR="001255FE">
        <w:rPr>
          <w:rFonts w:ascii="Times New Roman" w:hAnsi="Times New Roman" w:cs="Times New Roman"/>
          <w:sz w:val="28"/>
          <w:szCs w:val="28"/>
          <w:lang w:val="uk-UA"/>
        </w:rPr>
        <w:t>сті.</w:t>
      </w:r>
    </w:p>
    <w:p w:rsidR="009628EC" w:rsidRDefault="001255FE" w:rsidP="009628EC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9628EC" w:rsidRPr="009628EC">
        <w:rPr>
          <w:rFonts w:ascii="Times New Roman" w:hAnsi="Times New Roman" w:cs="Times New Roman"/>
          <w:sz w:val="28"/>
          <w:szCs w:val="28"/>
          <w:lang w:val="uk-UA"/>
        </w:rPr>
        <w:t>лібопекарська гал</w:t>
      </w:r>
      <w:r w:rsidR="000D5656">
        <w:rPr>
          <w:rFonts w:ascii="Times New Roman" w:hAnsi="Times New Roman" w:cs="Times New Roman"/>
          <w:sz w:val="28"/>
          <w:szCs w:val="28"/>
          <w:lang w:val="uk-UA"/>
        </w:rPr>
        <w:t xml:space="preserve">узь </w:t>
      </w:r>
      <w:r w:rsidR="009628EC">
        <w:rPr>
          <w:rFonts w:ascii="Times New Roman" w:hAnsi="Times New Roman" w:cs="Times New Roman"/>
          <w:sz w:val="28"/>
          <w:szCs w:val="28"/>
          <w:lang w:val="uk-UA"/>
        </w:rPr>
        <w:t>найбільш динамі</w:t>
      </w:r>
      <w:r w:rsidR="009628EC" w:rsidRPr="009628EC">
        <w:rPr>
          <w:rFonts w:ascii="Times New Roman" w:hAnsi="Times New Roman" w:cs="Times New Roman"/>
          <w:sz w:val="28"/>
          <w:szCs w:val="28"/>
          <w:lang w:val="uk-UA"/>
        </w:rPr>
        <w:t>чн</w:t>
      </w:r>
      <w:r w:rsidR="000D565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628EC" w:rsidRPr="009628EC">
        <w:rPr>
          <w:rFonts w:ascii="Times New Roman" w:hAnsi="Times New Roman" w:cs="Times New Roman"/>
          <w:sz w:val="28"/>
          <w:szCs w:val="28"/>
          <w:lang w:val="uk-UA"/>
        </w:rPr>
        <w:t xml:space="preserve"> та інвестиційно приваблив</w:t>
      </w:r>
      <w:r w:rsidR="000D565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628EC" w:rsidRPr="009628EC">
        <w:rPr>
          <w:rFonts w:ascii="Times New Roman" w:hAnsi="Times New Roman" w:cs="Times New Roman"/>
          <w:sz w:val="28"/>
          <w:szCs w:val="28"/>
          <w:lang w:val="uk-UA"/>
        </w:rPr>
        <w:t xml:space="preserve"> галуз</w:t>
      </w:r>
      <w:r w:rsidR="000D5656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628EC" w:rsidRPr="009628EC">
        <w:rPr>
          <w:rFonts w:ascii="Times New Roman" w:hAnsi="Times New Roman" w:cs="Times New Roman"/>
          <w:sz w:val="28"/>
          <w:szCs w:val="28"/>
          <w:lang w:val="uk-UA"/>
        </w:rPr>
        <w:t xml:space="preserve"> харч</w:t>
      </w:r>
      <w:r w:rsidR="009628EC">
        <w:rPr>
          <w:rFonts w:ascii="Times New Roman" w:hAnsi="Times New Roman" w:cs="Times New Roman"/>
          <w:sz w:val="28"/>
          <w:szCs w:val="28"/>
          <w:lang w:val="uk-UA"/>
        </w:rPr>
        <w:t xml:space="preserve">ової промисловості України,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але </w:t>
      </w:r>
      <w:r w:rsidR="009628EC">
        <w:rPr>
          <w:rFonts w:ascii="Times New Roman" w:hAnsi="Times New Roman" w:cs="Times New Roman"/>
          <w:sz w:val="28"/>
          <w:szCs w:val="28"/>
          <w:lang w:val="uk-UA"/>
        </w:rPr>
        <w:t>ба</w:t>
      </w:r>
      <w:r w:rsidR="009628EC" w:rsidRPr="009628EC">
        <w:rPr>
          <w:rFonts w:ascii="Times New Roman" w:hAnsi="Times New Roman" w:cs="Times New Roman"/>
          <w:sz w:val="28"/>
          <w:szCs w:val="28"/>
          <w:lang w:val="uk-UA"/>
        </w:rPr>
        <w:t>гато підприємств не витримують конкуренції, втрачають свою частку ринку, практично не інвестують у модернізацію та оновлення обладнання. Потрібно відмітити наявність тіньового сектору, внаслідок якого виробничі потужності підприємств не використовуються на оптимал</w:t>
      </w:r>
      <w:r w:rsidR="009628EC">
        <w:rPr>
          <w:rFonts w:ascii="Times New Roman" w:hAnsi="Times New Roman" w:cs="Times New Roman"/>
          <w:sz w:val="28"/>
          <w:szCs w:val="28"/>
          <w:lang w:val="uk-UA"/>
        </w:rPr>
        <w:t>ьному рівні, що знижує ефектив</w:t>
      </w:r>
      <w:r w:rsidR="009628EC" w:rsidRPr="009628EC">
        <w:rPr>
          <w:rFonts w:ascii="Times New Roman" w:hAnsi="Times New Roman" w:cs="Times New Roman"/>
          <w:sz w:val="28"/>
          <w:szCs w:val="28"/>
          <w:lang w:val="uk-UA"/>
        </w:rPr>
        <w:t>ність підприємства і галузі у цілому.</w:t>
      </w:r>
    </w:p>
    <w:p w:rsidR="001255FE" w:rsidRDefault="008C27A2" w:rsidP="009628EC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27A2">
        <w:rPr>
          <w:rFonts w:ascii="Times New Roman" w:hAnsi="Times New Roman" w:cs="Times New Roman"/>
          <w:sz w:val="28"/>
          <w:szCs w:val="28"/>
          <w:lang w:val="uk-UA"/>
        </w:rPr>
        <w:t>Сьогодні хлібопекарна галузь знаходиться під негативним впли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вом економічної нестабільності </w:t>
      </w:r>
      <w:r w:rsidRPr="008C27A2">
        <w:rPr>
          <w:rFonts w:ascii="Times New Roman" w:hAnsi="Times New Roman" w:cs="Times New Roman"/>
          <w:sz w:val="28"/>
          <w:szCs w:val="28"/>
          <w:lang w:val="uk-UA"/>
        </w:rPr>
        <w:t>тому актуальним є постійний аналіз його особливостей і тенденці</w:t>
      </w:r>
      <w:r>
        <w:rPr>
          <w:rFonts w:ascii="Times New Roman" w:hAnsi="Times New Roman" w:cs="Times New Roman"/>
          <w:sz w:val="28"/>
          <w:szCs w:val="28"/>
          <w:lang w:val="uk-UA"/>
        </w:rPr>
        <w:t>й з метою створення нових умов</w:t>
      </w:r>
      <w:r w:rsidRPr="008C27A2">
        <w:rPr>
          <w:rFonts w:ascii="Times New Roman" w:hAnsi="Times New Roman" w:cs="Times New Roman"/>
          <w:sz w:val="28"/>
          <w:szCs w:val="28"/>
          <w:lang w:val="uk-UA"/>
        </w:rPr>
        <w:t xml:space="preserve"> які повинні знайти місце в системі бухгалтерського обліку та на їх підставі окреслити нові сучасні підходи щодо обліку витрат на вир</w:t>
      </w:r>
      <w:r>
        <w:rPr>
          <w:rFonts w:ascii="Times New Roman" w:hAnsi="Times New Roman" w:cs="Times New Roman"/>
          <w:sz w:val="28"/>
          <w:szCs w:val="28"/>
          <w:lang w:val="uk-UA"/>
        </w:rPr>
        <w:t>обництво хлібобулочних виробів.</w:t>
      </w:r>
    </w:p>
    <w:p w:rsidR="006175EA" w:rsidRDefault="00835D5D" w:rsidP="00835D5D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35D5D">
        <w:rPr>
          <w:rFonts w:ascii="Times New Roman" w:hAnsi="Times New Roman" w:cs="Times New Roman"/>
          <w:sz w:val="28"/>
          <w:szCs w:val="28"/>
          <w:lang w:val="uk-UA"/>
        </w:rPr>
        <w:t>Досліджуючи сучасний стан хлібопекарської галузі</w:t>
      </w:r>
      <w:r w:rsidR="00B22D64" w:rsidRPr="00B22D64">
        <w:rPr>
          <w:rFonts w:ascii="Times New Roman" w:hAnsi="Times New Roman" w:cs="Times New Roman"/>
          <w:sz w:val="28"/>
          <w:szCs w:val="28"/>
          <w:lang w:val="uk-UA"/>
        </w:rPr>
        <w:t xml:space="preserve"> [2]</w:t>
      </w:r>
      <w:r w:rsidRPr="00835D5D">
        <w:rPr>
          <w:rFonts w:ascii="Times New Roman" w:hAnsi="Times New Roman" w:cs="Times New Roman"/>
          <w:sz w:val="28"/>
          <w:szCs w:val="28"/>
          <w:lang w:val="uk-UA"/>
        </w:rPr>
        <w:t>, можна прослідкувати тенденцію до спаду обсягів виробництва, не</w:t>
      </w:r>
      <w:r>
        <w:rPr>
          <w:rFonts w:ascii="Times New Roman" w:hAnsi="Times New Roman" w:cs="Times New Roman"/>
          <w:sz w:val="28"/>
          <w:szCs w:val="28"/>
          <w:lang w:val="uk-UA"/>
        </w:rPr>
        <w:t>ефективного використання техно</w:t>
      </w:r>
      <w:r w:rsidRPr="00835D5D">
        <w:rPr>
          <w:rFonts w:ascii="Times New Roman" w:hAnsi="Times New Roman" w:cs="Times New Roman"/>
          <w:sz w:val="28"/>
          <w:szCs w:val="28"/>
          <w:lang w:val="uk-UA"/>
        </w:rPr>
        <w:t>логічних ліній, застарілості технології виробниц</w:t>
      </w:r>
      <w:r>
        <w:rPr>
          <w:rFonts w:ascii="Times New Roman" w:hAnsi="Times New Roman" w:cs="Times New Roman"/>
          <w:sz w:val="28"/>
          <w:szCs w:val="28"/>
          <w:lang w:val="uk-UA"/>
        </w:rPr>
        <w:t>тва і матеріально-технічної ба</w:t>
      </w:r>
      <w:r w:rsidRPr="00835D5D">
        <w:rPr>
          <w:rFonts w:ascii="Times New Roman" w:hAnsi="Times New Roman" w:cs="Times New Roman"/>
          <w:sz w:val="28"/>
          <w:szCs w:val="28"/>
          <w:lang w:val="uk-UA"/>
        </w:rPr>
        <w:t>зи підприємств тощо. Все це свідчить про не</w:t>
      </w:r>
      <w:r>
        <w:rPr>
          <w:rFonts w:ascii="Times New Roman" w:hAnsi="Times New Roman" w:cs="Times New Roman"/>
          <w:sz w:val="28"/>
          <w:szCs w:val="28"/>
          <w:lang w:val="uk-UA"/>
        </w:rPr>
        <w:t>ефективне використання виробни</w:t>
      </w:r>
      <w:r w:rsidRPr="00835D5D">
        <w:rPr>
          <w:rFonts w:ascii="Times New Roman" w:hAnsi="Times New Roman" w:cs="Times New Roman"/>
          <w:sz w:val="28"/>
          <w:szCs w:val="28"/>
          <w:lang w:val="uk-UA"/>
        </w:rPr>
        <w:t>чих і трудових ресурсів підприємствами цієї галузі.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5EA" w:rsidRPr="006175EA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6175EA" w:rsidRPr="006175EA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одного боку спостерігається стабільне скорочення обсягів промислового виробництва хліба і хлібобулочних виробів загалом в Україні та в розрахунку на одну особу. З іншого боку задоволення потреби населення у</w:t>
      </w:r>
      <w:r w:rsidR="00F41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5EA" w:rsidRPr="006175EA">
        <w:rPr>
          <w:rFonts w:ascii="Times New Roman" w:hAnsi="Times New Roman" w:cs="Times New Roman"/>
          <w:sz w:val="28"/>
          <w:szCs w:val="28"/>
          <w:lang w:val="uk-UA"/>
        </w:rPr>
        <w:t>основному продукті</w:t>
      </w:r>
      <w:r w:rsidR="00F41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5EA" w:rsidRPr="006175EA">
        <w:rPr>
          <w:rFonts w:ascii="Times New Roman" w:hAnsi="Times New Roman" w:cs="Times New Roman"/>
          <w:sz w:val="28"/>
          <w:szCs w:val="28"/>
          <w:lang w:val="uk-UA"/>
        </w:rPr>
        <w:t>харчування забезпечується в повному обсязі,</w:t>
      </w:r>
      <w:r w:rsidR="00F41B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5EA" w:rsidRPr="006175EA">
        <w:rPr>
          <w:rFonts w:ascii="Times New Roman" w:hAnsi="Times New Roman" w:cs="Times New Roman"/>
          <w:sz w:val="28"/>
          <w:szCs w:val="28"/>
          <w:lang w:val="uk-UA"/>
        </w:rPr>
        <w:t>про що свідчить відсутність дефіциту хліба.</w:t>
      </w:r>
    </w:p>
    <w:p w:rsidR="006175EA" w:rsidRPr="008C27A2" w:rsidRDefault="005A27E3" w:rsidP="009628EC">
      <w:pPr>
        <w:spacing w:after="0" w:line="36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A27E3">
        <w:rPr>
          <w:rFonts w:ascii="Times New Roman" w:hAnsi="Times New Roman" w:cs="Times New Roman"/>
          <w:sz w:val="28"/>
          <w:szCs w:val="28"/>
          <w:lang w:val="uk-UA"/>
        </w:rPr>
        <w:t xml:space="preserve">Протягом останнього </w:t>
      </w:r>
      <w:r w:rsidR="00F41B14">
        <w:rPr>
          <w:rFonts w:ascii="Times New Roman" w:hAnsi="Times New Roman" w:cs="Times New Roman"/>
          <w:sz w:val="28"/>
          <w:szCs w:val="28"/>
          <w:lang w:val="uk-UA"/>
        </w:rPr>
        <w:t>років</w:t>
      </w:r>
      <w:r w:rsidRPr="005A27E3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спостеріга</w:t>
      </w:r>
      <w:r w:rsidR="00F41B14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Pr="005A27E3">
        <w:rPr>
          <w:rFonts w:ascii="Times New Roman" w:hAnsi="Times New Roman" w:cs="Times New Roman"/>
          <w:sz w:val="28"/>
          <w:szCs w:val="28"/>
          <w:lang w:val="uk-UA"/>
        </w:rPr>
        <w:t xml:space="preserve"> зниження обсягу виробництва і реалізації хліба та хлібобулочних виробів більше, ніж на 3</w:t>
      </w:r>
      <w:r w:rsidR="00795BE1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5A27E3">
        <w:rPr>
          <w:rFonts w:ascii="Times New Roman" w:hAnsi="Times New Roman" w:cs="Times New Roman"/>
          <w:sz w:val="28"/>
          <w:szCs w:val="28"/>
          <w:lang w:val="uk-UA"/>
        </w:rPr>
        <w:t>%, зокрема</w:t>
      </w:r>
      <w:r w:rsidR="00F41B14">
        <w:rPr>
          <w:rFonts w:ascii="Times New Roman" w:hAnsi="Times New Roman" w:cs="Times New Roman"/>
          <w:sz w:val="28"/>
          <w:szCs w:val="28"/>
          <w:lang w:val="uk-UA"/>
        </w:rPr>
        <w:t xml:space="preserve"> з 1763 тис. тон у 2011 р. до 1160 </w:t>
      </w:r>
      <w:r w:rsidRPr="005A27E3">
        <w:rPr>
          <w:rFonts w:ascii="Times New Roman" w:hAnsi="Times New Roman" w:cs="Times New Roman"/>
          <w:sz w:val="28"/>
          <w:szCs w:val="28"/>
          <w:lang w:val="uk-UA"/>
        </w:rPr>
        <w:t>тис. т</w:t>
      </w:r>
      <w:r w:rsidR="00F41B14">
        <w:rPr>
          <w:rFonts w:ascii="Times New Roman" w:hAnsi="Times New Roman" w:cs="Times New Roman"/>
          <w:sz w:val="28"/>
          <w:szCs w:val="28"/>
          <w:lang w:val="uk-UA"/>
        </w:rPr>
        <w:t>он</w:t>
      </w:r>
      <w:r w:rsidRPr="005A27E3">
        <w:rPr>
          <w:rFonts w:ascii="Times New Roman" w:hAnsi="Times New Roman" w:cs="Times New Roman"/>
          <w:sz w:val="28"/>
          <w:szCs w:val="28"/>
          <w:lang w:val="uk-UA"/>
        </w:rPr>
        <w:t xml:space="preserve"> у 201</w:t>
      </w:r>
      <w:r w:rsidR="00F41B1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5A27E3">
        <w:rPr>
          <w:rFonts w:ascii="Times New Roman" w:hAnsi="Times New Roman" w:cs="Times New Roman"/>
          <w:sz w:val="28"/>
          <w:szCs w:val="28"/>
          <w:lang w:val="uk-UA"/>
        </w:rPr>
        <w:t> р. (рис. 1)</w:t>
      </w:r>
      <w:r w:rsidR="00F41B1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C27A2" w:rsidRDefault="00E52E4B" w:rsidP="00795BE1">
      <w:pPr>
        <w:spacing w:after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0A663115" wp14:editId="73A0806E">
            <wp:extent cx="457200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2E4B" w:rsidRDefault="00E52E4B" w:rsidP="00795BE1">
      <w:pPr>
        <w:spacing w:after="0" w:line="360" w:lineRule="auto"/>
        <w:ind w:right="-1"/>
        <w:jc w:val="center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Рисунок 1</w:t>
      </w:r>
      <w:r w:rsidRPr="00E52E4B">
        <w:rPr>
          <w:rFonts w:ascii="Times New Roman" w:hAnsi="Times New Roman" w:cs="Times New Roman"/>
          <w:sz w:val="28"/>
          <w:szCs w:val="28"/>
          <w:lang w:val="uk-UA"/>
        </w:rPr>
        <w:t>. Динаміка виробництва хліба та хлібобулочних виробів</w:t>
      </w:r>
      <w:r w:rsidR="00795BE1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52E4B">
        <w:rPr>
          <w:rFonts w:ascii="Times New Roman" w:hAnsi="Times New Roman" w:cs="Times New Roman"/>
          <w:sz w:val="28"/>
          <w:szCs w:val="28"/>
          <w:lang w:val="uk-UA"/>
        </w:rPr>
        <w:t xml:space="preserve"> в Україні за 20</w:t>
      </w:r>
      <w:r>
        <w:rPr>
          <w:rFonts w:ascii="Times New Roman" w:hAnsi="Times New Roman" w:cs="Times New Roman"/>
          <w:sz w:val="28"/>
          <w:szCs w:val="28"/>
          <w:lang w:val="uk-UA"/>
        </w:rPr>
        <w:t>11-2017</w:t>
      </w:r>
      <w:r w:rsidRPr="00E52E4B">
        <w:rPr>
          <w:rFonts w:ascii="Times New Roman" w:hAnsi="Times New Roman" w:cs="Times New Roman"/>
          <w:sz w:val="28"/>
          <w:szCs w:val="28"/>
          <w:lang w:val="uk-UA"/>
        </w:rPr>
        <w:t xml:space="preserve"> рр., тис. т.</w:t>
      </w:r>
      <w:r>
        <w:t xml:space="preserve"> </w:t>
      </w:r>
    </w:p>
    <w:p w:rsidR="00232DAF" w:rsidRPr="00232DAF" w:rsidRDefault="00232DAF" w:rsidP="00232DAF">
      <w:pPr>
        <w:pStyle w:val="aa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32DAF">
        <w:rPr>
          <w:rFonts w:eastAsiaTheme="minorHAnsi"/>
          <w:sz w:val="28"/>
          <w:szCs w:val="28"/>
          <w:lang w:val="uk-UA" w:eastAsia="en-US"/>
        </w:rPr>
        <w:t>За даними Держкомстату</w:t>
      </w:r>
      <w:r w:rsidR="00B22D64" w:rsidRPr="00B22D64">
        <w:rPr>
          <w:rFonts w:eastAsiaTheme="minorHAnsi"/>
          <w:sz w:val="28"/>
          <w:szCs w:val="28"/>
          <w:lang w:eastAsia="en-US"/>
        </w:rPr>
        <w:t xml:space="preserve"> 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у </w:t>
      </w:r>
      <w:r w:rsidR="00795BE1">
        <w:rPr>
          <w:rFonts w:eastAsiaTheme="minorHAnsi"/>
          <w:sz w:val="28"/>
          <w:szCs w:val="28"/>
          <w:lang w:val="uk-UA" w:eastAsia="en-US"/>
        </w:rPr>
        <w:t>вересні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 201</w:t>
      </w:r>
      <w:r w:rsidR="00795BE1">
        <w:rPr>
          <w:rFonts w:eastAsiaTheme="minorHAnsi"/>
          <w:sz w:val="28"/>
          <w:szCs w:val="28"/>
          <w:lang w:val="uk-UA" w:eastAsia="en-US"/>
        </w:rPr>
        <w:t>7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 року виробництво хліба знизилось на </w:t>
      </w:r>
      <w:r w:rsidR="00795BE1">
        <w:rPr>
          <w:rFonts w:eastAsiaTheme="minorHAnsi"/>
          <w:sz w:val="28"/>
          <w:szCs w:val="28"/>
          <w:lang w:val="uk-UA" w:eastAsia="en-US"/>
        </w:rPr>
        <w:t>0,3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% проти </w:t>
      </w:r>
      <w:r w:rsidR="00795BE1">
        <w:rPr>
          <w:rFonts w:eastAsiaTheme="minorHAnsi"/>
          <w:sz w:val="28"/>
          <w:szCs w:val="28"/>
          <w:lang w:val="uk-UA" w:eastAsia="en-US"/>
        </w:rPr>
        <w:t>серпневого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 показника та на </w:t>
      </w:r>
      <w:r w:rsidR="00795BE1">
        <w:rPr>
          <w:rFonts w:eastAsiaTheme="minorHAnsi"/>
          <w:sz w:val="28"/>
          <w:szCs w:val="28"/>
          <w:lang w:val="uk-UA" w:eastAsia="en-US"/>
        </w:rPr>
        <w:t>1,35</w:t>
      </w:r>
      <w:r w:rsidRPr="00232DAF">
        <w:rPr>
          <w:rFonts w:eastAsiaTheme="minorHAnsi"/>
          <w:sz w:val="28"/>
          <w:szCs w:val="28"/>
          <w:lang w:val="uk-UA" w:eastAsia="en-US"/>
        </w:rPr>
        <w:t>% проти результатів за аналогічний період 201</w:t>
      </w:r>
      <w:r w:rsidR="00835D5D">
        <w:rPr>
          <w:rFonts w:eastAsiaTheme="minorHAnsi"/>
          <w:sz w:val="28"/>
          <w:szCs w:val="28"/>
          <w:lang w:val="uk-UA" w:eastAsia="en-US"/>
        </w:rPr>
        <w:t>6 року,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 всього у </w:t>
      </w:r>
      <w:r w:rsidR="00835D5D">
        <w:rPr>
          <w:rFonts w:eastAsiaTheme="minorHAnsi"/>
          <w:sz w:val="28"/>
          <w:szCs w:val="28"/>
          <w:lang w:val="uk-UA" w:eastAsia="en-US"/>
        </w:rPr>
        <w:t>вересні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 цього року пекарні випустили </w:t>
      </w:r>
      <w:r w:rsidR="00835D5D">
        <w:rPr>
          <w:rFonts w:eastAsiaTheme="minorHAnsi"/>
          <w:sz w:val="28"/>
          <w:szCs w:val="28"/>
          <w:lang w:val="uk-UA" w:eastAsia="en-US"/>
        </w:rPr>
        <w:t>95,3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 тис</w:t>
      </w:r>
      <w:r w:rsidR="00835D5D">
        <w:rPr>
          <w:rFonts w:eastAsiaTheme="minorHAnsi"/>
          <w:sz w:val="28"/>
          <w:szCs w:val="28"/>
          <w:lang w:val="uk-UA" w:eastAsia="en-US"/>
        </w:rPr>
        <w:t>.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 т</w:t>
      </w:r>
      <w:r w:rsidR="00835D5D">
        <w:rPr>
          <w:rFonts w:eastAsiaTheme="minorHAnsi"/>
          <w:sz w:val="28"/>
          <w:szCs w:val="28"/>
          <w:lang w:val="uk-UA" w:eastAsia="en-US"/>
        </w:rPr>
        <w:t>.</w:t>
      </w:r>
      <w:r w:rsidRPr="00232DAF">
        <w:rPr>
          <w:rFonts w:eastAsiaTheme="minorHAnsi"/>
          <w:sz w:val="28"/>
          <w:szCs w:val="28"/>
          <w:lang w:val="uk-UA" w:eastAsia="en-US"/>
        </w:rPr>
        <w:t xml:space="preserve"> хліба</w:t>
      </w:r>
      <w:r w:rsidR="00B22D64" w:rsidRPr="00B22D64">
        <w:rPr>
          <w:rFonts w:eastAsiaTheme="minorHAnsi"/>
          <w:sz w:val="28"/>
          <w:szCs w:val="28"/>
          <w:lang w:eastAsia="en-US"/>
        </w:rPr>
        <w:t xml:space="preserve"> </w:t>
      </w:r>
      <w:r w:rsidR="00B22D64">
        <w:rPr>
          <w:rFonts w:eastAsiaTheme="minorHAnsi"/>
          <w:sz w:val="28"/>
          <w:szCs w:val="28"/>
          <w:lang w:eastAsia="en-US"/>
        </w:rPr>
        <w:t>[</w:t>
      </w:r>
      <w:r w:rsidR="00B22D64" w:rsidRPr="00B22D64">
        <w:rPr>
          <w:rFonts w:eastAsiaTheme="minorHAnsi"/>
          <w:sz w:val="28"/>
          <w:szCs w:val="28"/>
          <w:lang w:eastAsia="en-US"/>
        </w:rPr>
        <w:t>1</w:t>
      </w:r>
      <w:r w:rsidR="00B22D64">
        <w:rPr>
          <w:rFonts w:eastAsiaTheme="minorHAnsi"/>
          <w:sz w:val="28"/>
          <w:szCs w:val="28"/>
          <w:lang w:eastAsia="en-US"/>
        </w:rPr>
        <w:t>]</w:t>
      </w:r>
      <w:r w:rsidRPr="00232DAF">
        <w:rPr>
          <w:rFonts w:eastAsiaTheme="minorHAnsi"/>
          <w:sz w:val="28"/>
          <w:szCs w:val="28"/>
          <w:lang w:val="uk-UA" w:eastAsia="en-US"/>
        </w:rPr>
        <w:t>.</w:t>
      </w:r>
    </w:p>
    <w:p w:rsidR="00232DAF" w:rsidRPr="00232DAF" w:rsidRDefault="00232DAF" w:rsidP="00232DAF">
      <w:pPr>
        <w:pStyle w:val="11"/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32DAF">
        <w:rPr>
          <w:rFonts w:ascii="Times New Roman" w:hAnsi="Times New Roman" w:cs="Times New Roman"/>
          <w:sz w:val="28"/>
          <w:szCs w:val="28"/>
          <w:lang w:val="uk-UA"/>
        </w:rPr>
        <w:t>На ситуацію на хлібному ринку істотно впливає державне регулювання. Воно ж є і основною проблемою ринку, тому що жорстко обмежує рентабельність на низькому рівні на фоні постійного росту собівартості продукції перш за все через подорожчання енергоносіїв та транспорту.</w:t>
      </w:r>
      <w:r w:rsidR="00835D5D">
        <w:rPr>
          <w:rFonts w:ascii="Times New Roman" w:hAnsi="Times New Roman" w:cs="Times New Roman"/>
          <w:sz w:val="28"/>
          <w:szCs w:val="28"/>
          <w:lang w:val="uk-UA"/>
        </w:rPr>
        <w:t xml:space="preserve"> Також п</w:t>
      </w:r>
      <w:r w:rsidR="00835D5D" w:rsidRPr="00835D5D">
        <w:rPr>
          <w:rFonts w:ascii="Times New Roman" w:hAnsi="Times New Roman" w:cs="Times New Roman"/>
          <w:sz w:val="28"/>
          <w:szCs w:val="28"/>
          <w:lang w:val="uk-UA"/>
        </w:rPr>
        <w:t>отрібно відмітити значне зростання цін на борошно</w:t>
      </w:r>
      <w:r w:rsidR="00835D5D">
        <w:rPr>
          <w:rFonts w:ascii="Times New Roman" w:hAnsi="Times New Roman" w:cs="Times New Roman"/>
          <w:sz w:val="28"/>
          <w:szCs w:val="28"/>
          <w:lang w:val="uk-UA"/>
        </w:rPr>
        <w:t xml:space="preserve">, що суттєво впливає на ціну </w:t>
      </w:r>
      <w:r w:rsidR="000B152F">
        <w:rPr>
          <w:rFonts w:ascii="Times New Roman" w:hAnsi="Times New Roman" w:cs="Times New Roman"/>
          <w:sz w:val="28"/>
          <w:szCs w:val="28"/>
          <w:lang w:val="uk-UA"/>
        </w:rPr>
        <w:t>хлібобулочних виробів.</w:t>
      </w:r>
    </w:p>
    <w:p w:rsidR="00232DAF" w:rsidRDefault="00232DAF" w:rsidP="00835D5D">
      <w:pPr>
        <w:pStyle w:val="11"/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232DAF">
        <w:rPr>
          <w:rFonts w:ascii="Times New Roman" w:hAnsi="Times New Roman" w:cs="Times New Roman"/>
          <w:sz w:val="28"/>
          <w:szCs w:val="28"/>
          <w:lang w:val="uk-UA"/>
        </w:rPr>
        <w:lastRenderedPageBreak/>
        <w:t>Основними причинами зниження обсягів виробництва хлібобулочної продукції є скорочення чисельності населення України, з</w:t>
      </w:r>
      <w:r w:rsidR="00160294">
        <w:rPr>
          <w:rFonts w:ascii="Times New Roman" w:hAnsi="Times New Roman" w:cs="Times New Roman"/>
          <w:sz w:val="28"/>
          <w:szCs w:val="28"/>
          <w:lang w:val="uk-UA"/>
        </w:rPr>
        <w:t>ростання виробництва хліба міні-</w:t>
      </w:r>
      <w:bookmarkStart w:id="0" w:name="_GoBack"/>
      <w:bookmarkEnd w:id="0"/>
      <w:r w:rsidRPr="00232DAF">
        <w:rPr>
          <w:rFonts w:ascii="Times New Roman" w:hAnsi="Times New Roman" w:cs="Times New Roman"/>
          <w:sz w:val="28"/>
          <w:szCs w:val="28"/>
          <w:lang w:val="uk-UA"/>
        </w:rPr>
        <w:t>пекарнями та супермаркетами, обсяг випуску яких не обліковується, зміни в структурі харчування громадян України внаслідок переорієнтації споживачів на інші продукти харчування.</w:t>
      </w:r>
    </w:p>
    <w:p w:rsidR="00835D5D" w:rsidRPr="00232DAF" w:rsidRDefault="00161E60" w:rsidP="00835D5D">
      <w:pPr>
        <w:pStyle w:val="11"/>
        <w:shd w:val="clear" w:color="auto" w:fill="auto"/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</w:t>
      </w:r>
      <w:r w:rsidR="00835D5D" w:rsidRPr="00835D5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835D5D" w:rsidRPr="00835D5D">
        <w:rPr>
          <w:rFonts w:ascii="Times New Roman" w:hAnsi="Times New Roman" w:cs="Times New Roman"/>
          <w:sz w:val="28"/>
          <w:szCs w:val="28"/>
          <w:lang w:val="uk-UA"/>
        </w:rPr>
        <w:t>подолання кризових явищ у хлібопекарськ</w:t>
      </w:r>
      <w:r>
        <w:rPr>
          <w:rFonts w:ascii="Times New Roman" w:hAnsi="Times New Roman" w:cs="Times New Roman"/>
          <w:sz w:val="28"/>
          <w:szCs w:val="28"/>
          <w:lang w:val="uk-UA"/>
        </w:rPr>
        <w:t>ому</w:t>
      </w:r>
      <w:r w:rsidR="00835D5D" w:rsidRPr="00835D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виробництві</w:t>
      </w:r>
      <w:r w:rsidR="00835D5D" w:rsidRPr="00835D5D">
        <w:rPr>
          <w:rFonts w:ascii="Times New Roman" w:hAnsi="Times New Roman" w:cs="Times New Roman"/>
          <w:sz w:val="28"/>
          <w:szCs w:val="28"/>
          <w:lang w:val="uk-UA"/>
        </w:rPr>
        <w:t xml:space="preserve">, а також подальший розвиток залежить від багатьох </w:t>
      </w:r>
      <w:r w:rsidR="000B152F">
        <w:rPr>
          <w:rFonts w:ascii="Times New Roman" w:hAnsi="Times New Roman" w:cs="Times New Roman"/>
          <w:sz w:val="28"/>
          <w:szCs w:val="28"/>
          <w:lang w:val="uk-UA"/>
        </w:rPr>
        <w:t>фак</w:t>
      </w:r>
      <w:r w:rsidR="00835D5D" w:rsidRPr="00835D5D">
        <w:rPr>
          <w:rFonts w:ascii="Times New Roman" w:hAnsi="Times New Roman" w:cs="Times New Roman"/>
          <w:sz w:val="28"/>
          <w:szCs w:val="28"/>
          <w:lang w:val="uk-UA"/>
        </w:rPr>
        <w:t>торів. Так як, хлібопекарська галузь має велике</w:t>
      </w:r>
      <w:r w:rsidR="00F52918">
        <w:rPr>
          <w:rFonts w:ascii="Times New Roman" w:hAnsi="Times New Roman" w:cs="Times New Roman"/>
          <w:sz w:val="28"/>
          <w:szCs w:val="28"/>
          <w:lang w:val="uk-UA"/>
        </w:rPr>
        <w:t xml:space="preserve"> політичне та соціальне значен</w:t>
      </w:r>
      <w:r w:rsidR="00835D5D" w:rsidRPr="00835D5D">
        <w:rPr>
          <w:rFonts w:ascii="Times New Roman" w:hAnsi="Times New Roman" w:cs="Times New Roman"/>
          <w:sz w:val="28"/>
          <w:szCs w:val="28"/>
          <w:lang w:val="uk-UA"/>
        </w:rPr>
        <w:t xml:space="preserve">ня, виробники повинні вчасно оцінювати свою цінову політику. У свою чергу, державне регулювання стримує встановлення </w:t>
      </w:r>
      <w:r w:rsidR="000B152F">
        <w:rPr>
          <w:rFonts w:ascii="Times New Roman" w:hAnsi="Times New Roman" w:cs="Times New Roman"/>
          <w:sz w:val="28"/>
          <w:szCs w:val="28"/>
          <w:lang w:val="uk-UA"/>
        </w:rPr>
        <w:t>нових цін, тому це значно обме</w:t>
      </w:r>
      <w:r w:rsidR="00835D5D" w:rsidRPr="00835D5D">
        <w:rPr>
          <w:rFonts w:ascii="Times New Roman" w:hAnsi="Times New Roman" w:cs="Times New Roman"/>
          <w:sz w:val="28"/>
          <w:szCs w:val="28"/>
          <w:lang w:val="uk-UA"/>
        </w:rPr>
        <w:t>жує дії учасників хлібопекарської галузі.</w:t>
      </w:r>
    </w:p>
    <w:p w:rsidR="007F1273" w:rsidRDefault="007F1273" w:rsidP="00545D26">
      <w:pPr>
        <w:spacing w:after="0" w:line="360" w:lineRule="auto"/>
        <w:ind w:right="-1" w:firstLine="567"/>
        <w:jc w:val="center"/>
        <w:rPr>
          <w:rFonts w:ascii="Times New Roman" w:eastAsia="Calibri" w:hAnsi="Times New Roman" w:cs="Times New Roman"/>
          <w:i/>
          <w:sz w:val="24"/>
          <w:lang w:val="uk-UA"/>
        </w:rPr>
      </w:pPr>
      <w:r w:rsidRPr="005765C7">
        <w:rPr>
          <w:rFonts w:ascii="Times New Roman" w:eastAsia="Calibri" w:hAnsi="Times New Roman" w:cs="Times New Roman"/>
          <w:i/>
          <w:sz w:val="24"/>
          <w:lang w:val="uk-UA"/>
        </w:rPr>
        <w:t>Література</w:t>
      </w:r>
    </w:p>
    <w:p w:rsidR="004A295C" w:rsidRPr="006175EA" w:rsidRDefault="004A295C" w:rsidP="00545D26">
      <w:pPr>
        <w:tabs>
          <w:tab w:val="left" w:pos="472"/>
          <w:tab w:val="left" w:pos="1080"/>
        </w:tabs>
        <w:spacing w:after="0" w:line="36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1.</w:t>
      </w:r>
      <w:r w:rsidR="006175EA" w:rsidRPr="006175EA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8C27A2" w:rsidRPr="006175EA">
        <w:rPr>
          <w:rFonts w:ascii="Times New Roman" w:eastAsia="Calibri" w:hAnsi="Times New Roman" w:cs="Times New Roman"/>
          <w:sz w:val="24"/>
          <w:szCs w:val="24"/>
          <w:lang w:val="uk-UA"/>
        </w:rPr>
        <w:t>Державна</w:t>
      </w:r>
      <w:r w:rsidR="008C27A2" w:rsidRPr="004A29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7A2" w:rsidRPr="006175EA">
        <w:rPr>
          <w:rFonts w:ascii="Times New Roman" w:eastAsia="Calibri" w:hAnsi="Times New Roman" w:cs="Times New Roman"/>
          <w:sz w:val="24"/>
          <w:szCs w:val="24"/>
          <w:lang w:val="uk-UA"/>
        </w:rPr>
        <w:t>служба</w:t>
      </w:r>
      <w:r w:rsidR="008C27A2" w:rsidRPr="004A29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7A2" w:rsidRPr="006175EA">
        <w:rPr>
          <w:rFonts w:ascii="Times New Roman" w:eastAsia="Calibri" w:hAnsi="Times New Roman" w:cs="Times New Roman"/>
          <w:sz w:val="24"/>
          <w:szCs w:val="24"/>
          <w:lang w:val="uk-UA"/>
        </w:rPr>
        <w:t>статистики</w:t>
      </w:r>
      <w:r w:rsidR="008C27A2" w:rsidRPr="004A29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7A2" w:rsidRPr="006175EA">
        <w:rPr>
          <w:rFonts w:ascii="Times New Roman" w:eastAsia="Calibri" w:hAnsi="Times New Roman" w:cs="Times New Roman"/>
          <w:sz w:val="24"/>
          <w:szCs w:val="24"/>
          <w:lang w:val="uk-UA"/>
        </w:rPr>
        <w:t>[Електронний</w:t>
      </w:r>
      <w:r w:rsidR="008C27A2" w:rsidRPr="004A29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7A2" w:rsidRPr="006175EA">
        <w:rPr>
          <w:rFonts w:ascii="Times New Roman" w:eastAsia="Calibri" w:hAnsi="Times New Roman" w:cs="Times New Roman"/>
          <w:sz w:val="24"/>
          <w:szCs w:val="24"/>
          <w:lang w:val="uk-UA"/>
        </w:rPr>
        <w:t>ресурс].</w:t>
      </w:r>
      <w:r w:rsidR="008C27A2" w:rsidRPr="004A29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7A2" w:rsidRPr="006175EA">
        <w:rPr>
          <w:rFonts w:ascii="Times New Roman" w:eastAsia="Calibri" w:hAnsi="Times New Roman" w:cs="Times New Roman"/>
          <w:sz w:val="24"/>
          <w:szCs w:val="24"/>
          <w:lang w:val="uk-UA"/>
        </w:rPr>
        <w:t>–</w:t>
      </w:r>
      <w:r w:rsidR="008C27A2" w:rsidRPr="004A295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C27A2" w:rsidRPr="006175EA">
        <w:rPr>
          <w:rFonts w:ascii="Times New Roman" w:eastAsia="Calibri" w:hAnsi="Times New Roman" w:cs="Times New Roman"/>
          <w:sz w:val="24"/>
          <w:szCs w:val="24"/>
          <w:lang w:val="uk-UA"/>
        </w:rPr>
        <w:t>Режим</w:t>
      </w:r>
      <w:r w:rsidR="008C27A2" w:rsidRPr="004A295C">
        <w:rPr>
          <w:rFonts w:ascii="Times New Roman" w:eastAsia="Calibri" w:hAnsi="Times New Roman" w:cs="Times New Roman"/>
          <w:sz w:val="24"/>
          <w:szCs w:val="24"/>
        </w:rPr>
        <w:t xml:space="preserve"> доступу : </w:t>
      </w:r>
      <w:hyperlink r:id="rId8" w:history="1">
        <w:r w:rsidRPr="004A295C">
          <w:rPr>
            <w:rFonts w:ascii="Times New Roman" w:eastAsia="Calibri" w:hAnsi="Times New Roman" w:cs="Times New Roman"/>
            <w:sz w:val="24"/>
            <w:szCs w:val="24"/>
          </w:rPr>
          <w:t>http</w:t>
        </w:r>
        <w:r w:rsidRPr="006175EA">
          <w:rPr>
            <w:rFonts w:ascii="Times New Roman" w:eastAsia="Calibri" w:hAnsi="Times New Roman" w:cs="Times New Roman"/>
            <w:sz w:val="24"/>
            <w:szCs w:val="24"/>
            <w:lang w:val="uk-UA"/>
          </w:rPr>
          <w:t>://</w:t>
        </w:r>
        <w:r w:rsidRPr="004A295C">
          <w:rPr>
            <w:rFonts w:ascii="Times New Roman" w:eastAsia="Calibri" w:hAnsi="Times New Roman" w:cs="Times New Roman"/>
            <w:sz w:val="24"/>
            <w:szCs w:val="24"/>
          </w:rPr>
          <w:t>www</w:t>
        </w:r>
        <w:r w:rsidRPr="006175EA">
          <w:rPr>
            <w:rFonts w:ascii="Times New Roman" w:eastAsia="Calibri" w:hAnsi="Times New Roman" w:cs="Times New Roman"/>
            <w:sz w:val="24"/>
            <w:szCs w:val="24"/>
            <w:lang w:val="uk-UA"/>
          </w:rPr>
          <w:t>.</w:t>
        </w:r>
        <w:r w:rsidRPr="004A295C">
          <w:rPr>
            <w:rFonts w:ascii="Times New Roman" w:eastAsia="Calibri" w:hAnsi="Times New Roman" w:cs="Times New Roman"/>
            <w:sz w:val="24"/>
            <w:szCs w:val="24"/>
          </w:rPr>
          <w:t>ukrstat</w:t>
        </w:r>
        <w:r w:rsidRPr="006175EA">
          <w:rPr>
            <w:rFonts w:ascii="Times New Roman" w:eastAsia="Calibri" w:hAnsi="Times New Roman" w:cs="Times New Roman"/>
            <w:sz w:val="24"/>
            <w:szCs w:val="24"/>
            <w:lang w:val="uk-UA"/>
          </w:rPr>
          <w:t>.</w:t>
        </w:r>
        <w:r w:rsidRPr="004A295C">
          <w:rPr>
            <w:rFonts w:ascii="Times New Roman" w:eastAsia="Calibri" w:hAnsi="Times New Roman" w:cs="Times New Roman"/>
            <w:sz w:val="24"/>
            <w:szCs w:val="24"/>
          </w:rPr>
          <w:t>gov</w:t>
        </w:r>
        <w:r w:rsidRPr="006175EA">
          <w:rPr>
            <w:rFonts w:ascii="Times New Roman" w:eastAsia="Calibri" w:hAnsi="Times New Roman" w:cs="Times New Roman"/>
            <w:sz w:val="24"/>
            <w:szCs w:val="24"/>
            <w:lang w:val="uk-UA"/>
          </w:rPr>
          <w:t>.</w:t>
        </w:r>
        <w:r w:rsidRPr="004A295C">
          <w:rPr>
            <w:rFonts w:ascii="Times New Roman" w:eastAsia="Calibri" w:hAnsi="Times New Roman" w:cs="Times New Roman"/>
            <w:sz w:val="24"/>
            <w:szCs w:val="24"/>
          </w:rPr>
          <w:t>ua</w:t>
        </w:r>
        <w:r w:rsidRPr="006175EA">
          <w:rPr>
            <w:rFonts w:ascii="Times New Roman" w:eastAsia="Calibri" w:hAnsi="Times New Roman" w:cs="Times New Roman"/>
            <w:sz w:val="24"/>
            <w:szCs w:val="24"/>
            <w:lang w:val="uk-UA"/>
          </w:rPr>
          <w:t>/</w:t>
        </w:r>
      </w:hyperlink>
      <w:r w:rsidR="008C27A2" w:rsidRPr="006175EA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545D26" w:rsidRPr="00545D26" w:rsidRDefault="00425772" w:rsidP="00545D26">
      <w:pPr>
        <w:pStyle w:val="a7"/>
        <w:spacing w:line="36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2. </w:t>
      </w:r>
      <w:proofErr w:type="spell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>Завертаний</w:t>
      </w:r>
      <w:proofErr w:type="spell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Д.В. </w:t>
      </w:r>
      <w:proofErr w:type="spell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>Сучасний</w:t>
      </w:r>
      <w:proofErr w:type="spell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стан та </w:t>
      </w:r>
      <w:proofErr w:type="spell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>перспективи</w:t>
      </w:r>
      <w:proofErr w:type="spell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>розвитку</w:t>
      </w:r>
      <w:proofErr w:type="spell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>хлібопекарської</w:t>
      </w:r>
      <w:proofErr w:type="spell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>галузі</w:t>
      </w:r>
      <w:proofErr w:type="spell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>України</w:t>
      </w:r>
      <w:proofErr w:type="spell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/ Д.В. </w:t>
      </w:r>
      <w:proofErr w:type="spell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>Завертаний</w:t>
      </w:r>
      <w:proofErr w:type="spell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[</w:t>
      </w:r>
      <w:proofErr w:type="spell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>Електронний</w:t>
      </w:r>
      <w:proofErr w:type="spell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ресурс]. – Режим доступу</w:t>
      </w:r>
      <w:proofErr w:type="gramStart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="00545D26" w:rsidRPr="00545D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9" w:history="1">
        <w:r w:rsidR="00545D26" w:rsidRPr="00545D26">
          <w:rPr>
            <w:rFonts w:ascii="Times New Roman" w:eastAsia="Calibri" w:hAnsi="Times New Roman" w:cs="Times New Roman"/>
            <w:sz w:val="24"/>
            <w:szCs w:val="24"/>
            <w:lang w:val="uk-UA"/>
          </w:rPr>
          <w:t>http://rinek.onu.edu.ua/article/view/61705</w:t>
        </w:r>
      </w:hyperlink>
    </w:p>
    <w:p w:rsidR="00425772" w:rsidRDefault="00425772" w:rsidP="008C27A2">
      <w:pPr>
        <w:tabs>
          <w:tab w:val="left" w:pos="472"/>
          <w:tab w:val="left" w:pos="108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425772" w:rsidSect="000B687B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5D5"/>
    <w:multiLevelType w:val="hybridMultilevel"/>
    <w:tmpl w:val="3D74ED72"/>
    <w:lvl w:ilvl="0" w:tplc="ACE2EA98">
      <w:start w:val="6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7F16E8"/>
    <w:multiLevelType w:val="hybridMultilevel"/>
    <w:tmpl w:val="564C24C8"/>
    <w:lvl w:ilvl="0" w:tplc="879CE48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207E2C"/>
    <w:multiLevelType w:val="hybridMultilevel"/>
    <w:tmpl w:val="8AC6375A"/>
    <w:lvl w:ilvl="0" w:tplc="CB5C35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7245AE5"/>
    <w:multiLevelType w:val="hybridMultilevel"/>
    <w:tmpl w:val="FFB215E2"/>
    <w:lvl w:ilvl="0" w:tplc="2C16C3D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C54"/>
    <w:rsid w:val="00007EDC"/>
    <w:rsid w:val="00014E85"/>
    <w:rsid w:val="00037588"/>
    <w:rsid w:val="00053151"/>
    <w:rsid w:val="00094996"/>
    <w:rsid w:val="000B152F"/>
    <w:rsid w:val="000B687B"/>
    <w:rsid w:val="000D5656"/>
    <w:rsid w:val="001118C0"/>
    <w:rsid w:val="001255FE"/>
    <w:rsid w:val="00127B58"/>
    <w:rsid w:val="00160294"/>
    <w:rsid w:val="00161E60"/>
    <w:rsid w:val="001B509E"/>
    <w:rsid w:val="001E20B6"/>
    <w:rsid w:val="001F6325"/>
    <w:rsid w:val="00205DAB"/>
    <w:rsid w:val="00210B55"/>
    <w:rsid w:val="00232DAF"/>
    <w:rsid w:val="00285054"/>
    <w:rsid w:val="00297510"/>
    <w:rsid w:val="00321332"/>
    <w:rsid w:val="00385497"/>
    <w:rsid w:val="003A5FF5"/>
    <w:rsid w:val="00425772"/>
    <w:rsid w:val="00491C4C"/>
    <w:rsid w:val="004A295C"/>
    <w:rsid w:val="00500665"/>
    <w:rsid w:val="0050220E"/>
    <w:rsid w:val="00521ACF"/>
    <w:rsid w:val="00534979"/>
    <w:rsid w:val="00534D61"/>
    <w:rsid w:val="00545D26"/>
    <w:rsid w:val="00565493"/>
    <w:rsid w:val="005765C7"/>
    <w:rsid w:val="005A2441"/>
    <w:rsid w:val="005A27E3"/>
    <w:rsid w:val="005A5356"/>
    <w:rsid w:val="005C38C6"/>
    <w:rsid w:val="005C78D0"/>
    <w:rsid w:val="005E76CD"/>
    <w:rsid w:val="006175EA"/>
    <w:rsid w:val="006233C7"/>
    <w:rsid w:val="0066023C"/>
    <w:rsid w:val="006869ED"/>
    <w:rsid w:val="00692AA8"/>
    <w:rsid w:val="007536B7"/>
    <w:rsid w:val="00795BE1"/>
    <w:rsid w:val="007F1273"/>
    <w:rsid w:val="007F693A"/>
    <w:rsid w:val="00820E90"/>
    <w:rsid w:val="00835D5D"/>
    <w:rsid w:val="0085617F"/>
    <w:rsid w:val="00867BDB"/>
    <w:rsid w:val="00884CF7"/>
    <w:rsid w:val="008A1C54"/>
    <w:rsid w:val="008B2F7F"/>
    <w:rsid w:val="008C27A2"/>
    <w:rsid w:val="008E5298"/>
    <w:rsid w:val="009628EC"/>
    <w:rsid w:val="00970C3A"/>
    <w:rsid w:val="00990597"/>
    <w:rsid w:val="009B016F"/>
    <w:rsid w:val="009E19BF"/>
    <w:rsid w:val="009E4968"/>
    <w:rsid w:val="009F7F78"/>
    <w:rsid w:val="00A14093"/>
    <w:rsid w:val="00A653CD"/>
    <w:rsid w:val="00AA22B2"/>
    <w:rsid w:val="00AA5FE7"/>
    <w:rsid w:val="00AC78F6"/>
    <w:rsid w:val="00B12409"/>
    <w:rsid w:val="00B22D64"/>
    <w:rsid w:val="00B62E09"/>
    <w:rsid w:val="00B83CE9"/>
    <w:rsid w:val="00BB2D20"/>
    <w:rsid w:val="00BC18FB"/>
    <w:rsid w:val="00C16F0F"/>
    <w:rsid w:val="00C522E6"/>
    <w:rsid w:val="00C95E12"/>
    <w:rsid w:val="00C96F05"/>
    <w:rsid w:val="00CC3A8E"/>
    <w:rsid w:val="00CE425C"/>
    <w:rsid w:val="00D04D5D"/>
    <w:rsid w:val="00D554F7"/>
    <w:rsid w:val="00D71325"/>
    <w:rsid w:val="00D73D61"/>
    <w:rsid w:val="00D84C71"/>
    <w:rsid w:val="00DC1A78"/>
    <w:rsid w:val="00E47778"/>
    <w:rsid w:val="00E51CBC"/>
    <w:rsid w:val="00E52E4B"/>
    <w:rsid w:val="00E71A55"/>
    <w:rsid w:val="00EC7359"/>
    <w:rsid w:val="00ED7760"/>
    <w:rsid w:val="00F41B14"/>
    <w:rsid w:val="00F44690"/>
    <w:rsid w:val="00F52918"/>
    <w:rsid w:val="00F57568"/>
    <w:rsid w:val="00F70034"/>
    <w:rsid w:val="00F90CF5"/>
    <w:rsid w:val="00FA1FF9"/>
    <w:rsid w:val="00FA572B"/>
    <w:rsid w:val="00FD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7F"/>
  </w:style>
  <w:style w:type="paragraph" w:styleId="1">
    <w:name w:val="heading 1"/>
    <w:basedOn w:val="a"/>
    <w:next w:val="a"/>
    <w:link w:val="10"/>
    <w:uiPriority w:val="9"/>
    <w:qFormat/>
    <w:rsid w:val="00856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6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561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61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A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4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5356"/>
    <w:pPr>
      <w:ind w:left="720"/>
      <w:contextualSpacing/>
    </w:pPr>
  </w:style>
  <w:style w:type="character" w:styleId="a8">
    <w:name w:val="Strong"/>
    <w:basedOn w:val="a0"/>
    <w:qFormat/>
    <w:rsid w:val="007F1273"/>
    <w:rPr>
      <w:b/>
      <w:bCs/>
    </w:rPr>
  </w:style>
  <w:style w:type="character" w:styleId="a9">
    <w:name w:val="Hyperlink"/>
    <w:basedOn w:val="a0"/>
    <w:uiPriority w:val="99"/>
    <w:unhideWhenUsed/>
    <w:rsid w:val="0038549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D84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4C7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">
    <w:name w:val="Body text_"/>
    <w:link w:val="11"/>
    <w:locked/>
    <w:rsid w:val="00232DAF"/>
    <w:rPr>
      <w:sz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232DAF"/>
    <w:pPr>
      <w:shd w:val="clear" w:color="auto" w:fill="FFFFFF"/>
      <w:spacing w:after="0" w:line="480" w:lineRule="exact"/>
      <w:ind w:hanging="460"/>
      <w:jc w:val="both"/>
    </w:pPr>
    <w:rPr>
      <w:sz w:val="27"/>
    </w:rPr>
  </w:style>
  <w:style w:type="paragraph" w:styleId="aa">
    <w:name w:val="Normal (Web)"/>
    <w:basedOn w:val="a"/>
    <w:uiPriority w:val="99"/>
    <w:semiHidden/>
    <w:unhideWhenUsed/>
    <w:rsid w:val="00232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17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7F"/>
  </w:style>
  <w:style w:type="paragraph" w:styleId="1">
    <w:name w:val="heading 1"/>
    <w:basedOn w:val="a"/>
    <w:next w:val="a"/>
    <w:link w:val="10"/>
    <w:uiPriority w:val="9"/>
    <w:qFormat/>
    <w:rsid w:val="008561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1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1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6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561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561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5A2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44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A53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3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rstat.gov.ua/" TargetMode="Externa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rinek.onu.edu.ua/article/view/61705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5%20&#1082;&#1091;&#1088;&#1089;\&#1045;&#1082;&#1086;&#1085;&#1086;&#1084;&#1110;&#1082;&#1072;\&#1044;&#1080;&#1087;&#1083;&#1086;&#1084;\TEPi_novi%20-%20&#1082;&#1086;&#1087;&#1080;&#1103;%20(&#1040;&#1074;&#1090;&#1086;&#1089;&#1086;&#1093;&#1088;&#1072;&#1085;&#1077;&#1085;&#1085;&#1099;&#1081;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cat>
            <c:numLit>
              <c:formatCode>General</c:formatCode>
              <c:ptCount val="7"/>
              <c:pt idx="0">
                <c:v>2011</c:v>
              </c:pt>
              <c:pt idx="1">
                <c:v>2012</c:v>
              </c:pt>
              <c:pt idx="2">
                <c:v>2013</c:v>
              </c:pt>
              <c:pt idx="3">
                <c:v>2014</c:v>
              </c:pt>
              <c:pt idx="4">
                <c:v>2015</c:v>
              </c:pt>
              <c:pt idx="5">
                <c:v>2016</c:v>
              </c:pt>
              <c:pt idx="6">
                <c:v>2017</c:v>
              </c:pt>
            </c:numLit>
          </c:cat>
          <c:val>
            <c:numRef>
              <c:f>Лист1!$B$13:$H$13</c:f>
              <c:numCache>
                <c:formatCode>General</c:formatCode>
                <c:ptCount val="7"/>
                <c:pt idx="0">
                  <c:v>1763</c:v>
                </c:pt>
                <c:pt idx="1">
                  <c:v>1686</c:v>
                </c:pt>
                <c:pt idx="2">
                  <c:v>1561</c:v>
                </c:pt>
                <c:pt idx="3">
                  <c:v>1357</c:v>
                </c:pt>
                <c:pt idx="4">
                  <c:v>1232</c:v>
                </c:pt>
                <c:pt idx="5">
                  <c:v>1160</c:v>
                </c:pt>
                <c:pt idx="6">
                  <c:v>786.7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6926592"/>
        <c:axId val="37178752"/>
        <c:axId val="0"/>
      </c:bar3DChart>
      <c:catAx>
        <c:axId val="369265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роки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7178752"/>
        <c:crosses val="autoZero"/>
        <c:auto val="1"/>
        <c:lblAlgn val="ctr"/>
        <c:lblOffset val="100"/>
        <c:noMultiLvlLbl val="0"/>
      </c:catAx>
      <c:valAx>
        <c:axId val="3717875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/>
                  <a:t>тис. т.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6926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0.79167</cdr:x>
      <cdr:y>0.8316</cdr:y>
    </cdr:from>
    <cdr:to>
      <cdr:x>0.94583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619500" y="2281237"/>
          <a:ext cx="704850" cy="46196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ru-RU" sz="1100"/>
            <a:t>(</a:t>
          </a:r>
          <a:r>
            <a:rPr lang="ru-RU" sz="1000"/>
            <a:t>січень-</a:t>
          </a:r>
        </a:p>
        <a:p xmlns:a="http://schemas.openxmlformats.org/drawingml/2006/main">
          <a:r>
            <a:rPr lang="ru-RU" sz="1000"/>
            <a:t>вересень)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A80A-45CF-4628-A8D9-ADF471CA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4639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AnyA</cp:lastModifiedBy>
  <cp:revision>66</cp:revision>
  <cp:lastPrinted>2017-03-27T21:15:00Z</cp:lastPrinted>
  <dcterms:created xsi:type="dcterms:W3CDTF">2016-03-26T18:24:00Z</dcterms:created>
  <dcterms:modified xsi:type="dcterms:W3CDTF">2017-11-11T19:20:00Z</dcterms:modified>
</cp:coreProperties>
</file>