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13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МОДЕЛЮВАННЯ ЦІЛЬОВИХ ОПЕРАЦІЙ У ТЕХНІЧНИХ</w:t>
      </w:r>
    </w:p>
    <w:p>
      <w:pPr>
        <w:spacing w:line="3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-6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І БІОЛОГІЧНИХ СИСТЕМАХ ТА ОБ’ЄКТАХ</w:t>
      </w:r>
    </w:p>
    <w:p>
      <w:pPr>
        <w:spacing w:line="20" w:lineRule="exact"/>
        <w:rPr>
          <w:rFonts w:ascii="Times New Roman" w:hAnsi="Times New Roman" w:eastAsia="Times New Roman"/>
        </w:rPr>
      </w:pPr>
    </w:p>
    <w:p>
      <w:pPr>
        <w:spacing w:line="86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25216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53340</wp:posOffset>
            </wp:positionV>
            <wp:extent cx="6158230" cy="8890"/>
            <wp:effectExtent l="0" t="0" r="0" b="0"/>
            <wp:wrapNone/>
            <wp:docPr id="5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актуальним завданням сучасності і однією з найбільш важких проблем травматології та ортопедії, оскільки кі-лькість цих патологій не має тенденцій навіть до зменшення, а заходи профілактики і консервативне їх лікуван-ня або малоефективні або неможливі. Особливу роль в дослідженні цієї патології відіграють методи біомехані - чного моделювання тому, що дозволяють прогнозувати розвиток порушень форми кісткових структур суглобу і оптимізувати методи усунення цих пошкоджень [1]. Метою роботи є удосконалення біомеханічної моделі ко-лінного суглобу, яка надасть можливості створення системи діагностування та прогнозування.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МАТЕРІАЛ І РЕЗУЛЬТАТ ДОСЛІДЖЕНЬ. Для розробки біомеханічної моделі необхідно розглянути розра-хункову схему колінного суглобу (рис. 1).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69" w:lineRule="auto"/>
        <w:ind w:left="480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26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35560</wp:posOffset>
            </wp:positionV>
            <wp:extent cx="6111240" cy="2133600"/>
            <wp:effectExtent l="0" t="0" r="3810" b="0"/>
            <wp:wrapNone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</w:rPr>
        <w:t>Запишемо рівняння рівності моментів для розрахун-кової схеми:</w:t>
      </w:r>
    </w:p>
    <w:p>
      <w:pPr>
        <w:spacing w:line="20" w:lineRule="exact"/>
        <w:rPr>
          <w:rFonts w:ascii="Times New Roman" w:hAnsi="Times New Roman" w:eastAsia="Times New Roman"/>
        </w:rPr>
      </w:pPr>
    </w:p>
    <w:p>
      <w:pPr>
        <w:spacing w:line="285" w:lineRule="exact"/>
        <w:rPr>
          <w:rFonts w:ascii="Times New Roman" w:hAnsi="Times New Roman" w:eastAsia="Times New Roman"/>
        </w:rPr>
      </w:pPr>
    </w:p>
    <w:p>
      <w:pPr>
        <w:spacing w:line="232" w:lineRule="auto"/>
        <w:ind w:left="480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де, Р – вага, прикладена до гомілки; L</w:t>
      </w:r>
      <w:r>
        <w:rPr>
          <w:rFonts w:ascii="Times New Roman" w:hAnsi="Times New Roman" w:eastAsia="Times New Roman"/>
          <w:sz w:val="25"/>
          <w:vertAlign w:val="subscript"/>
        </w:rPr>
        <w:t>2</w:t>
      </w:r>
      <w:r>
        <w:rPr>
          <w:rFonts w:ascii="Times New Roman" w:hAnsi="Times New Roman" w:eastAsia="Times New Roman"/>
        </w:rPr>
        <w:t xml:space="preserve"> – довжина гомі-лки; I – відстань від надколінка до великої горбистості; F</w:t>
      </w:r>
      <w:r>
        <w:rPr>
          <w:rFonts w:ascii="Times New Roman" w:hAnsi="Times New Roman" w:eastAsia="Times New Roman"/>
          <w:sz w:val="25"/>
          <w:vertAlign w:val="subscript"/>
        </w:rPr>
        <w:t>1</w:t>
      </w:r>
      <w:r>
        <w:rPr>
          <w:rFonts w:ascii="Times New Roman" w:hAnsi="Times New Roman" w:eastAsia="Times New Roman"/>
        </w:rPr>
        <w:t xml:space="preserve"> – сила дії м’язів.</w:t>
      </w:r>
    </w:p>
    <w:p>
      <w:pPr>
        <w:spacing w:line="227" w:lineRule="auto"/>
        <w:ind w:left="480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З рівняння (1) виразимо величину сили F</w:t>
      </w:r>
      <w:r>
        <w:rPr>
          <w:rFonts w:ascii="Times New Roman" w:hAnsi="Times New Roman" w:eastAsia="Times New Roman"/>
          <w:sz w:val="25"/>
          <w:vertAlign w:val="subscript"/>
        </w:rPr>
        <w:t>1</w:t>
      </w:r>
      <w:r>
        <w:rPr>
          <w:rFonts w:ascii="Times New Roman" w:hAnsi="Times New Roman" w:eastAsia="Times New Roman"/>
        </w:rPr>
        <w:t>, необхідну для утримання гомілки:</w:t>
      </w:r>
    </w:p>
    <w:p>
      <w:pPr>
        <w:spacing w:line="2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28288" behindDoc="1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78105</wp:posOffset>
            </wp:positionV>
            <wp:extent cx="2462530" cy="285750"/>
            <wp:effectExtent l="0" t="0" r="0" b="0"/>
            <wp:wrapNone/>
            <wp:docPr id="2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</w:rPr>
        <w:drawing>
          <wp:anchor distT="0" distB="0" distL="114300" distR="114300" simplePos="0" relativeHeight="252427264" behindDoc="1" locked="0" layoutInCell="1" allowOverlap="1">
            <wp:simplePos x="0" y="0"/>
            <wp:positionH relativeFrom="column">
              <wp:posOffset>6316345</wp:posOffset>
            </wp:positionH>
            <wp:positionV relativeFrom="paragraph">
              <wp:posOffset>99060</wp:posOffset>
            </wp:positionV>
            <wp:extent cx="2462530" cy="285750"/>
            <wp:effectExtent l="0" t="0" r="13970" b="0"/>
            <wp:wrapNone/>
            <wp:docPr id="7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51" w:lineRule="exact"/>
        <w:rPr>
          <w:rFonts w:ascii="Times New Roman" w:hAnsi="Times New Roman" w:eastAsia="Times New Roman"/>
        </w:rPr>
      </w:pPr>
    </w:p>
    <w:p>
      <w:pPr>
        <w:spacing w:line="231" w:lineRule="auto"/>
        <w:ind w:left="4807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Отримане рівняння наглядно показує, що величина сили, необхідної для утримання гомілки, перебуває у протилежній залежності від величини плеча її дії, тобто від відстані між надколінком і великою гористістю [2]. Таким чином, за допомогою рівняння можливо побуду-вати біомеханічну модель на основі залежності величи-ни сили F</w:t>
      </w:r>
      <w:r>
        <w:rPr>
          <w:rFonts w:ascii="Times New Roman" w:hAnsi="Times New Roman" w:eastAsia="Times New Roman"/>
          <w:sz w:val="25"/>
          <w:vertAlign w:val="subscript"/>
        </w:rPr>
        <w:t>1,</w:t>
      </w:r>
      <w:r>
        <w:rPr>
          <w:rFonts w:ascii="Times New Roman" w:hAnsi="Times New Roman" w:eastAsia="Times New Roman"/>
        </w:rPr>
        <w:t xml:space="preserve"> необхідної для утримання гомілки, означити</w:t>
      </w:r>
    </w:p>
    <w:p>
      <w:pPr>
        <w:spacing w:line="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величину відстані між надколінком і великою горбистістю.</w:t>
      </w:r>
    </w:p>
    <w:p>
      <w:pPr>
        <w:spacing w:line="272" w:lineRule="auto"/>
        <w:ind w:left="7" w:right="20" w:firstLine="28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ВИСНОВОК. Чим більше радіус дії надколінка та його відстань від великої гористості, тим менше величина зусилля розгинача стегна, яка необхідна для підняття гомілки та зменшується руйнування суглобу.</w:t>
      </w:r>
    </w:p>
    <w:p>
      <w:pPr>
        <w:spacing w:line="0" w:lineRule="atLeast"/>
        <w:ind w:right="-6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ЛІТЕРАТУРА</w:t>
      </w:r>
    </w:p>
    <w:p>
      <w:pPr>
        <w:numPr>
          <w:ilvl w:val="0"/>
          <w:numId w:val="1"/>
        </w:numPr>
        <w:tabs>
          <w:tab w:val="left" w:pos="507"/>
        </w:tabs>
        <w:spacing w:line="0" w:lineRule="atLeast"/>
        <w:ind w:left="507" w:hanging="224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Зазірний І. М. Сучасні погляди на етіологію і патогенез остеоартрозу / І.М. Зазірний //лікар. справа. –</w:t>
      </w:r>
    </w:p>
    <w:p>
      <w:pPr>
        <w:spacing w:line="237" w:lineRule="auto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2003. – № 2. – С. 7–12.</w:t>
      </w:r>
    </w:p>
    <w:p>
      <w:pPr>
        <w:numPr>
          <w:ilvl w:val="0"/>
          <w:numId w:val="1"/>
        </w:numPr>
        <w:tabs>
          <w:tab w:val="left" w:pos="500"/>
        </w:tabs>
        <w:spacing w:line="272" w:lineRule="auto"/>
        <w:ind w:left="7" w:right="20" w:firstLine="27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Писаренко Г.С. Справочник по сопротивлению материалов / Г.С. Писаренко, В.В. Матвеева. К. : Наукова думка, 1988. – 736 с.</w:t>
      </w:r>
    </w:p>
    <w:p>
      <w:pPr>
        <w:spacing w:line="0" w:lineRule="atLeast"/>
        <w:ind w:right="-6"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ТЕРМОДИНАМИКА НАПРАВЛЕНОСТИ И РЕАЛИЗАЦИЯ КИСЛОТНО-ОСНОВНЫХ</w:t>
      </w:r>
    </w:p>
    <w:p>
      <w:pPr>
        <w:spacing w:line="239" w:lineRule="auto"/>
        <w:ind w:left="7" w:right="2040" w:firstLine="2036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ВЗАИМОДЕЙСТВИЙ В ВОЛЬФРАМАТНЫХ АСПЛАВАХ</w:t>
      </w:r>
    </w:p>
    <w:p>
      <w:pPr>
        <w:spacing w:line="239" w:lineRule="auto"/>
        <w:ind w:left="7" w:leftChars="0" w:right="2040" w:hanging="7" w:firstLineChars="0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 Соловьев В.В., </w:t>
      </w:r>
      <w:r>
        <w:rPr>
          <w:rFonts w:ascii="Times New Roman" w:hAnsi="Times New Roman" w:eastAsia="Times New Roman"/>
          <w:b/>
          <w:sz w:val="18"/>
        </w:rPr>
        <w:t>Соляник Л.</w:t>
      </w:r>
      <w:r>
        <w:rPr>
          <w:rFonts w:ascii="Times New Roman" w:hAnsi="Times New Roman" w:eastAsia="Times New Roman"/>
          <w:b/>
        </w:rPr>
        <w:t xml:space="preserve"> </w:t>
      </w:r>
      <w:r>
        <w:rPr>
          <w:rFonts w:ascii="Times New Roman" w:hAnsi="Times New Roman" w:eastAsia="Times New Roman"/>
          <w:b/>
          <w:sz w:val="18"/>
        </w:rPr>
        <w:t>А.</w:t>
      </w:r>
      <w:r>
        <w:rPr>
          <w:rFonts w:ascii="Times New Roman" w:hAnsi="Times New Roman" w:eastAsia="Times New Roman"/>
          <w:b/>
        </w:rPr>
        <w:t>, Голик Ю.С.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263" w:lineRule="auto"/>
        <w:ind w:left="7" w:right="2820"/>
        <w:rPr>
          <w:rFonts w:ascii="Times New Roman" w:hAnsi="Times New Roman" w:eastAsia="Times New Roman"/>
          <w:sz w:val="19"/>
        </w:rPr>
      </w:pPr>
      <w:r>
        <w:rPr>
          <w:rFonts w:ascii="Times New Roman" w:hAnsi="Times New Roman" w:eastAsia="Times New Roman"/>
          <w:sz w:val="19"/>
        </w:rPr>
        <w:t xml:space="preserve">Полтавский национальный технический университет имени Юрия Кондратюка, пр. Первомайский, 24, г. Полтава, 36011, Украина, E-mail: </w:t>
      </w:r>
      <w:r>
        <w:fldChar w:fldCharType="begin"/>
      </w:r>
      <w:r>
        <w:instrText xml:space="preserve"> HYPERLINK "mailto:schernenko@mail.ru" </w:instrText>
      </w:r>
      <w:r>
        <w:fldChar w:fldCharType="separate"/>
      </w:r>
      <w:r>
        <w:rPr>
          <w:rFonts w:ascii="Times New Roman" w:hAnsi="Times New Roman" w:eastAsia="Times New Roman"/>
          <w:sz w:val="19"/>
        </w:rPr>
        <w:t>schernenko@mail.ru</w:t>
      </w:r>
      <w:r>
        <w:fldChar w:fldCharType="end"/>
      </w:r>
    </w:p>
    <w:p>
      <w:pPr>
        <w:spacing w:line="0" w:lineRule="atLeast"/>
        <w:ind w:left="7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Малышев В.В.</w:t>
      </w:r>
    </w:p>
    <w:p>
      <w:pPr>
        <w:spacing w:line="248" w:lineRule="auto"/>
        <w:ind w:left="7" w:right="272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Институт общей и неорганической химии им. В.И. Вернадського НАН Украины, пр. академика Палладина, 32/34. г. Киев, 03680, Украина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Гон-Эскар М.</w:t>
      </w:r>
    </w:p>
    <w:p>
      <w:pPr>
        <w:spacing w:line="5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Институт промышленных термических систем университета Прованс, г. Марсель, Франция</w:t>
      </w:r>
    </w:p>
    <w:p>
      <w:pPr>
        <w:spacing w:line="0" w:lineRule="atLeast"/>
        <w:ind w:left="7" w:right="26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Выполнены термодинамические расчеты и экспериментально доказана возможность регулирования кислот-но-основных свойств в вольфраматных расплавах при помощи кислородосодержащих соединений металлов VI-В группы, углерода, фосфора, серы и бора. Рассмотрена термодинамика равновесных (обратимых) систем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1"/>
        </w:numPr>
        <w:tabs>
          <w:tab w:val="left" w:pos="151"/>
        </w:tabs>
        <w:spacing w:line="0" w:lineRule="atLeast"/>
        <w:ind w:left="7" w:right="260" w:hanging="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электродами из металлов VI-В группы и их карбидов. На основании проведенных термодинамических рас-четов оценена вероятность протекания возможных реакций взаимодействия между металлами VI-В группы, их оксидами, карбидами, вольфраматом натрия и кислородосодержащими соединениями бора, углерода, фосфора и серы. Корреляцией электрохимических измерений и термодинамических расчетов доказана воз-можность существования равновесных (обратимых) систем с электродами из металлов VI-В группы и их карбидов. Подтверждена возможность управления кислотно-основными свойствами в вольфраматном рас-плаве потенциометрическим методом, рентгенофазовым анализом и ИК-спектроскопией охлажденных об-разцов.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69" w:lineRule="auto"/>
        <w:ind w:left="7" w:right="28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</w:rPr>
        <w:t xml:space="preserve">Ключевые слова: </w:t>
      </w:r>
      <w:r>
        <w:rPr>
          <w:rFonts w:ascii="Times New Roman" w:hAnsi="Times New Roman" w:eastAsia="Times New Roman"/>
        </w:rPr>
        <w:t>термодинамические расчеты, кислотно-основные свойст</w:t>
      </w:r>
      <w:r>
        <w:rPr>
          <w:rFonts w:ascii="Times New Roman" w:hAnsi="Times New Roman" w:eastAsia="Times New Roman"/>
          <w:lang w:val="uk-UA"/>
        </w:rPr>
        <w:t>в</w:t>
      </w:r>
      <w:r>
        <w:rPr>
          <w:rFonts w:ascii="Times New Roman" w:hAnsi="Times New Roman" w:eastAsia="Times New Roman"/>
        </w:rPr>
        <w:t>а вольфраматного расплава, ме-таллы VI-В группы, карбиды металлов VI-В группы</w:t>
      </w:r>
    </w:p>
    <w:p>
      <w:pPr>
        <w:spacing w:line="2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43" w:lineRule="exact"/>
        <w:rPr>
          <w:rFonts w:ascii="Times New Roman" w:hAnsi="Times New Roman" w:eastAsia="Times New Roman"/>
        </w:rPr>
      </w:pPr>
    </w:p>
    <w:p>
      <w:pPr>
        <w:spacing w:line="264" w:lineRule="auto"/>
        <w:ind w:right="13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29312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19685</wp:posOffset>
            </wp:positionV>
            <wp:extent cx="6158230" cy="8890"/>
            <wp:effectExtent l="0" t="0" r="0" b="0"/>
            <wp:wrapNone/>
            <wp:docPr id="3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</w:rPr>
        <w:t>ХVII Міжнародна науково-технічна конференція «Фізичні процеси та поля технічних і біологічних об’єктів» 217</w:t>
      </w:r>
    </w:p>
    <w:p>
      <w:pPr>
        <w:spacing w:line="264" w:lineRule="auto"/>
        <w:ind w:right="13"/>
        <w:jc w:val="center"/>
        <w:rPr>
          <w:rFonts w:ascii="Times New Roman" w:hAnsi="Times New Roman" w:eastAsia="Times New Roman"/>
        </w:rPr>
        <w:sectPr>
          <w:pgSz w:w="11900" w:h="16838"/>
          <w:pgMar w:top="545" w:right="1126" w:bottom="0" w:left="1133" w:header="0" w:footer="0" w:gutter="0"/>
          <w:cols w:equalWidth="0" w:num="1">
            <w:col w:w="9647"/>
          </w:cols>
          <w:docGrid w:linePitch="360" w:charSpace="0"/>
        </w:sectPr>
      </w:pPr>
    </w:p>
    <w:p>
      <w:pPr>
        <w:spacing w:line="0" w:lineRule="atLeast"/>
        <w:ind w:right="20"/>
        <w:jc w:val="center"/>
        <w:rPr>
          <w:rFonts w:ascii="Times New Roman" w:hAnsi="Times New Roman" w:eastAsia="Times New Roman"/>
        </w:rPr>
      </w:pPr>
      <w:bookmarkStart w:id="0" w:name="page219"/>
      <w:bookmarkEnd w:id="0"/>
      <w:r>
        <w:rPr>
          <w:rFonts w:ascii="Times New Roman" w:hAnsi="Times New Roman" w:eastAsia="Times New Roman"/>
        </w:rPr>
        <w:t>МОДЕЛЮВАННЯ ЦІЛЬОВИХ ОПЕРАЦІЙ У ТЕХНІЧНИХ</w:t>
      </w:r>
    </w:p>
    <w:p>
      <w:pPr>
        <w:spacing w:line="3" w:lineRule="exact"/>
        <w:rPr>
          <w:rFonts w:ascii="Times New Roman" w:hAnsi="Times New Roman" w:eastAsia="Times New Roman"/>
        </w:rPr>
      </w:pPr>
    </w:p>
    <w:p>
      <w:pPr>
        <w:spacing w:line="0" w:lineRule="atLeast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І БІОЛОГІЧНИХ СИСТЕМАХ ТА ОБ’ЄКТАХ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30336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24130</wp:posOffset>
            </wp:positionV>
            <wp:extent cx="6158230" cy="8890"/>
            <wp:effectExtent l="0" t="0" r="0" b="0"/>
            <wp:wrapNone/>
            <wp:docPr id="6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7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20"/>
        <w:jc w:val="center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THE THERMODYNAMIC BASISAND PRACTICAL REALIZATION OF THE REGULATION AN</w:t>
      </w:r>
    </w:p>
    <w:p>
      <w:pPr>
        <w:spacing w:line="238" w:lineRule="auto"/>
        <w:ind w:right="2360" w:firstLine="2345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ACID-BASE INTERACTIONSIN TUNGSTATE MELTS Soloviev V., Solyanyk L</w:t>
      </w:r>
      <w:r>
        <w:rPr>
          <w:rFonts w:ascii="Times New Roman" w:hAnsi="Times New Roman" w:eastAsia="Times New Roman"/>
          <w:i/>
        </w:rPr>
        <w:t>.</w:t>
      </w:r>
      <w:r>
        <w:rPr>
          <w:rFonts w:ascii="Times New Roman" w:hAnsi="Times New Roman" w:eastAsia="Times New Roman"/>
          <w:b/>
        </w:rPr>
        <w:t>, Holik Yu.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1360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</w:rPr>
        <w:t xml:space="preserve">Poltava national technical university named after Yurij Kondratyuk, prosp. Pershotravnevyi 24, Poltava </w:t>
      </w:r>
      <w:r>
        <w:rPr>
          <w:rFonts w:ascii="Times New Roman" w:hAnsi="Times New Roman" w:eastAsia="Times New Roman"/>
          <w:b/>
        </w:rPr>
        <w:t>Malyshev V.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266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Institute of General &amp; Inorganic Chemistry, National Academy of Sciences of Ukraine, prosp. Palladina 32-34, 03680, Kyiv 142, Ukraine;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>Hon Escar M.</w:t>
      </w:r>
    </w:p>
    <w:p>
      <w:pPr>
        <w:spacing w:line="237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Institute for Industrial Thermal Management University of Provence, Marseille, France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39" w:lineRule="auto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A thermodynamic calculations and experiments proved the possibility of regulation of acid-base properties in the tung-state melts with oxygen-containing metal compounds VI-B group, carbon, phosphorus, sulfur and boron. The thermo-dynamics of equilibrium (reversible) systems with metal electrodes VI-B groups and their carbides. On the basis of thermodynamic calculations estimated the probability of the possible reactions of the interaction between metals VI-B group, their oxides, carbides, sodium tungstate and oxygen-containing compounds of boron, carbon, phosphorus and sulfur. Correlation of electrochemical measurements and thermodynamic calculations proved the possibility of the ex-istence of the equilibrium is equal to (reversible) systems with metal electrodes VI-B groups and their carbides. The possibility of control of acid-base properties in the tungstate melt potentiometric method, X-ray diffraction and infrared spectroscopy cooled samples.</w:t>
      </w:r>
    </w:p>
    <w:p>
      <w:pPr>
        <w:spacing w:line="7" w:lineRule="exact"/>
        <w:rPr>
          <w:rFonts w:ascii="Times New Roman" w:hAnsi="Times New Roman" w:eastAsia="Times New Roman"/>
        </w:rPr>
      </w:pPr>
    </w:p>
    <w:p>
      <w:pPr>
        <w:spacing w:line="276" w:lineRule="auto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</w:rPr>
        <w:t xml:space="preserve">Key words: </w:t>
      </w:r>
      <w:r>
        <w:rPr>
          <w:rFonts w:ascii="Times New Roman" w:hAnsi="Times New Roman" w:eastAsia="Times New Roman"/>
        </w:rPr>
        <w:t>thermodynamic calculations, the acid-base properties of tungstate melt metals VI-B group metal carbides</w:t>
      </w:r>
      <w:r>
        <w:rPr>
          <w:rFonts w:ascii="Times New Roman" w:hAnsi="Times New Roman" w:eastAsia="Times New Roman"/>
          <w:b/>
        </w:rPr>
        <w:t xml:space="preserve"> </w:t>
      </w:r>
      <w:r>
        <w:rPr>
          <w:rFonts w:ascii="Times New Roman" w:hAnsi="Times New Roman" w:eastAsia="Times New Roman"/>
        </w:rPr>
        <w:t>VI-B group</w:t>
      </w:r>
    </w:p>
    <w:p>
      <w:pPr>
        <w:spacing w:line="232" w:lineRule="auto"/>
        <w:ind w:right="280" w:firstLine="28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АКТУАЛЬНОСТЬ РАБОТЫ. В электрохимии водных растворов известно о влиянии кислотности раство-ров, определяемой концентрацией водородных ионов, на электрохимическую кинетику. Аналогичные хими-ческие равновесия наблюдаются и в ионных расплавах:</w:t>
      </w:r>
    </w:p>
    <w:p>
      <w:pPr>
        <w:spacing w:line="190" w:lineRule="auto"/>
        <w:ind w:right="-139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Основание ↔ Кислота + R</w:t>
      </w:r>
      <w:r>
        <w:rPr>
          <w:rFonts w:ascii="Times New Roman" w:hAnsi="Times New Roman" w:eastAsia="Times New Roman"/>
          <w:sz w:val="25"/>
          <w:vertAlign w:val="superscript"/>
        </w:rPr>
        <w:t>n-</w:t>
      </w:r>
      <w:r>
        <w:rPr>
          <w:rFonts w:ascii="Times New Roman" w:hAnsi="Times New Roman" w:eastAsia="Times New Roman"/>
        </w:rPr>
        <w:t>,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34" w:lineRule="auto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где R</w:t>
      </w:r>
      <w:r>
        <w:rPr>
          <w:rFonts w:ascii="Times New Roman" w:hAnsi="Times New Roman" w:eastAsia="Times New Roman"/>
          <w:sz w:val="25"/>
          <w:vertAlign w:val="superscript"/>
        </w:rPr>
        <w:t>n-</w:t>
      </w:r>
      <w:r>
        <w:rPr>
          <w:rFonts w:ascii="Times New Roman" w:hAnsi="Times New Roman" w:eastAsia="Times New Roman"/>
        </w:rPr>
        <w:t xml:space="preserve"> - ионы F</w:t>
      </w:r>
      <w:r>
        <w:rPr>
          <w:rFonts w:ascii="Times New Roman" w:hAnsi="Times New Roman" w:eastAsia="Times New Roman"/>
          <w:sz w:val="25"/>
          <w:vertAlign w:val="superscript"/>
        </w:rPr>
        <w:t>-</w:t>
      </w:r>
      <w:r>
        <w:rPr>
          <w:rFonts w:ascii="Times New Roman" w:hAnsi="Times New Roman" w:eastAsia="Times New Roman"/>
        </w:rPr>
        <w:t>, Cl</w:t>
      </w:r>
      <w:r>
        <w:rPr>
          <w:rFonts w:ascii="Times New Roman" w:hAnsi="Times New Roman" w:eastAsia="Times New Roman"/>
          <w:sz w:val="25"/>
          <w:vertAlign w:val="superscript"/>
        </w:rPr>
        <w:t>-</w:t>
      </w:r>
      <w:r>
        <w:rPr>
          <w:rFonts w:ascii="Times New Roman" w:hAnsi="Times New Roman" w:eastAsia="Times New Roman"/>
        </w:rPr>
        <w:t>, O</w:t>
      </w:r>
      <w:r>
        <w:rPr>
          <w:rFonts w:ascii="Times New Roman" w:hAnsi="Times New Roman" w:eastAsia="Times New Roman"/>
          <w:sz w:val="25"/>
          <w:vertAlign w:val="superscript"/>
        </w:rPr>
        <w:t>2-</w:t>
      </w:r>
      <w:r>
        <w:rPr>
          <w:rFonts w:ascii="Times New Roman" w:hAnsi="Times New Roman" w:eastAsia="Times New Roman"/>
        </w:rPr>
        <w:t xml:space="preserve"> и им подобные . При этом кислотность кислородосодержащего ионного расплава определяется концентрацией ионов O</w:t>
      </w:r>
      <w:r>
        <w:rPr>
          <w:rFonts w:ascii="Times New Roman" w:hAnsi="Times New Roman" w:eastAsia="Times New Roman"/>
          <w:sz w:val="25"/>
          <w:vertAlign w:val="superscript"/>
        </w:rPr>
        <w:t>2-</w:t>
      </w:r>
      <w:r>
        <w:rPr>
          <w:rFonts w:ascii="Times New Roman" w:hAnsi="Times New Roman" w:eastAsia="Times New Roman"/>
        </w:rPr>
        <w:t xml:space="preserve"> или значением ее логарифмического показателя рО=-lg [O</w:t>
      </w:r>
      <w:r>
        <w:rPr>
          <w:rFonts w:ascii="Times New Roman" w:hAnsi="Times New Roman" w:eastAsia="Times New Roman"/>
          <w:sz w:val="25"/>
          <w:vertAlign w:val="superscript"/>
        </w:rPr>
        <w:t>2-</w:t>
      </w:r>
      <w:r>
        <w:rPr>
          <w:rFonts w:ascii="Times New Roman" w:hAnsi="Times New Roman" w:eastAsia="Times New Roman"/>
        </w:rPr>
        <w:t>]. Влияние кислотно-основных равновесий на: кинетику в галогенидно-оксидных расплавах изучено в [1,2]. Отмечается, что кислотно-основные реакции с участием оксианионов сопровождаются образованием кислородных ионов и соответствующие электродные процессы протекают по схеме автоингибирования. Катодное восстановление оксианионов осуществляется до металла в кислых электролитах в присутствии акцепторов кислородных ионов.</w:t>
      </w:r>
    </w:p>
    <w:p>
      <w:pPr>
        <w:spacing w:line="4" w:lineRule="exact"/>
        <w:rPr>
          <w:rFonts w:ascii="Times New Roman" w:hAnsi="Times New Roman" w:eastAsia="Times New Roman"/>
        </w:rPr>
      </w:pPr>
    </w:p>
    <w:p>
      <w:pPr>
        <w:spacing w:line="0" w:lineRule="atLeast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Изменение ионного состава оксидных расплавов на основе вольфраматов и молибдатов щелочных и щелоч-ноземельных металлов оказывает существенное влияние как на электродные процессы равновесия, так и на со-став катодных продуктов [3-7]. Так, в зависимости от кислотности (основности) расплава на катоде могут вы-деляться вольфрам, молибден, их сплавы во всем диапазоне составов, оксиды и соединения с щелочными или щелочноземельными металлами переменного состава типа бронз. Поэтому, возможность управления кислотно-основными свойствами этих расплавов представляет не только теоретический, но и практический интерес.</w:t>
      </w:r>
    </w:p>
    <w:p>
      <w:pPr>
        <w:spacing w:line="239" w:lineRule="auto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На основании проведенных термодинамических расчетов оценена вероятность протекания возможных реак-ций взаимодействия между металлами VI-В группы, их оксидами, карбидами, вольфраматом натрия и кислоро-досодержащими соединениями бора, углерода, фосфора и серы.</w:t>
      </w:r>
    </w:p>
    <w:p>
      <w:pPr>
        <w:spacing w:line="2" w:lineRule="exact"/>
        <w:rPr>
          <w:rFonts w:ascii="Times New Roman" w:hAnsi="Times New Roman" w:eastAsia="Times New Roman"/>
        </w:rPr>
      </w:pPr>
    </w:p>
    <w:p>
      <w:pPr>
        <w:spacing w:line="0" w:lineRule="atLeast"/>
        <w:ind w:right="20"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Электрохимическими и структурными методами получено экспериментальное подтверждение возможности регулирования кислотно-основных свойств вольфраматного расплава этими соединениями.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spacing w:line="272" w:lineRule="auto"/>
        <w:ind w:firstLine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Корреляцией электрохимических измерений и термодинамических расчетов доказана возможность суще-ствования равновесных (обратимых) систем с электродами из металлов VI-В группы и их карбидов.</w:t>
      </w:r>
    </w:p>
    <w:p>
      <w:pPr>
        <w:spacing w:line="0" w:lineRule="atLeast"/>
        <w:ind w:right="-139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ЛИТЕРАТУРА.</w:t>
      </w:r>
    </w:p>
    <w:p>
      <w:pPr>
        <w:numPr>
          <w:ilvl w:val="0"/>
          <w:numId w:val="2"/>
        </w:numPr>
        <w:tabs>
          <w:tab w:val="left" w:pos="489"/>
        </w:tabs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Malyshev, V. (2011), Electrodeposition of different types of tungsen cathode deposits from ionic melts, </w:t>
      </w:r>
      <w:r>
        <w:rPr>
          <w:rFonts w:ascii="Times New Roman" w:hAnsi="Times New Roman" w:eastAsia="Times New Roman"/>
          <w:i/>
        </w:rPr>
        <w:t xml:space="preserve">Mate-rials Science, </w:t>
      </w:r>
      <w:r>
        <w:rPr>
          <w:rFonts w:ascii="Times New Roman" w:hAnsi="Times New Roman" w:eastAsia="Times New Roman"/>
        </w:rPr>
        <w:t>Vol. 47, Issue 3, pp. 345 - 354.</w:t>
      </w:r>
    </w:p>
    <w:p>
      <w:pPr>
        <w:numPr>
          <w:ilvl w:val="0"/>
          <w:numId w:val="2"/>
        </w:numPr>
        <w:tabs>
          <w:tab w:val="left" w:pos="502"/>
        </w:tabs>
        <w:spacing w:line="0" w:lineRule="atLeast"/>
        <w:ind w:left="0" w:leftChars="0" w:firstLine="0" w:firstLineChars="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Malyshev, V. (2012), Formation of catode products of electrolysis of tungstate-molybdate melts, </w:t>
      </w:r>
      <w:r>
        <w:rPr>
          <w:rFonts w:ascii="Times New Roman" w:hAnsi="Times New Roman" w:eastAsia="Times New Roman"/>
          <w:i/>
        </w:rPr>
        <w:t xml:space="preserve">Materials Sci-ence, </w:t>
      </w:r>
      <w:r>
        <w:rPr>
          <w:rFonts w:ascii="Times New Roman" w:hAnsi="Times New Roman" w:eastAsia="Times New Roman"/>
        </w:rPr>
        <w:t>Vol. 48, no. 2, pp. 208 - 212.</w:t>
      </w:r>
    </w:p>
    <w:p>
      <w:pPr>
        <w:spacing w:line="1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2"/>
        </w:numPr>
        <w:tabs>
          <w:tab w:val="left" w:pos="519"/>
        </w:tabs>
        <w:spacing w:line="0" w:lineRule="atLeast"/>
        <w:ind w:left="0" w:leftChars="0" w:firstLine="0" w:firstLineChars="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Малышев В.В., Ускова Н.Н., Сарычев С.Ю., Шаповал В.И. Электровосстановление оксианионов воль-фрама (VI) на фоне расплава вольфрамат натрия- оксид бора // Укр. хим. журн, 1996. - Т. 62/1996 - С. 112-115.</w:t>
      </w:r>
    </w:p>
    <w:p>
      <w:pPr>
        <w:numPr>
          <w:ilvl w:val="0"/>
          <w:numId w:val="2"/>
        </w:numPr>
        <w:tabs>
          <w:tab w:val="left" w:pos="543"/>
        </w:tabs>
        <w:spacing w:line="0" w:lineRule="atLeast"/>
        <w:ind w:left="0" w:leftChars="0" w:firstLine="0" w:firstLineChars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Малышев В.В., Ускова Н.Н., Сарычев С.Ю., Шаговая В.И. Электрохимическое поведение платино-кислородного и вольфрамового электродов в расплаве вольфрамат натрия-оксид бора в равновесных условиях //Укр. хим. журн, 1996. - Т. 62/1996. - С. 103-107.</w:t>
      </w:r>
    </w:p>
    <w:p>
      <w:pPr>
        <w:numPr>
          <w:ilvl w:val="0"/>
          <w:numId w:val="2"/>
        </w:numPr>
        <w:tabs>
          <w:tab w:val="left" w:pos="502"/>
        </w:tabs>
        <w:spacing w:line="239" w:lineRule="auto"/>
        <w:ind w:left="0" w:leftChars="0" w:firstLine="0" w:firstLineChars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Малышев В.В. Теоретические основы и практическая реализация технологий ВЭС силицидов и боридов хрома, молибдена и вольфрама в ионных расплавах. - Теоретические основы химических технологий, 2002. -</w:t>
      </w:r>
    </w:p>
    <w:p>
      <w:pPr>
        <w:spacing w:line="0" w:lineRule="atLeas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Т.36/2002 (1), С.75-88.</w:t>
      </w:r>
    </w:p>
    <w:p>
      <w:pPr>
        <w:numPr>
          <w:ilvl w:val="0"/>
          <w:numId w:val="2"/>
        </w:numPr>
        <w:tabs>
          <w:tab w:val="left" w:pos="490"/>
        </w:tabs>
        <w:spacing w:line="0" w:lineRule="atLeast"/>
        <w:ind w:left="0" w:leftChars="0" w:firstLine="0" w:firstLineChars="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Malyshev, V.V., Gab A.I., Uskova N.N. and Soloviev V.V. (2004) Chemistry and Electrochemistry of Tungsten-Containing Ionic Melts, </w:t>
      </w:r>
      <w:r>
        <w:rPr>
          <w:rFonts w:ascii="Times New Roman" w:hAnsi="Times New Roman" w:eastAsia="Times New Roman"/>
          <w:i/>
        </w:rPr>
        <w:t>Molten Salts. Bulletin,</w:t>
      </w:r>
      <w:r>
        <w:rPr>
          <w:rFonts w:ascii="Times New Roman" w:hAnsi="Times New Roman" w:eastAsia="Times New Roman"/>
        </w:rPr>
        <w:t xml:space="preserve"> No 2, pp.1-10.</w:t>
      </w:r>
    </w:p>
    <w:p>
      <w:pPr>
        <w:numPr>
          <w:ilvl w:val="0"/>
          <w:numId w:val="2"/>
        </w:numPr>
        <w:tabs>
          <w:tab w:val="left" w:pos="497"/>
        </w:tabs>
        <w:spacing w:line="269" w:lineRule="auto"/>
        <w:ind w:left="0" w:leftChars="0" w:right="20" w:rightChars="0" w:firstLine="0" w:firstLineChars="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Шаповал В.И., Соловьев В.А., Малышев В.В. Электрохимически-активные частицы и многоэлектронные электрохимические процессы в ионных расплавах. - Успехи химии, 2001, Т.70/2001 (2), С.182-199.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drawing>
          <wp:anchor distT="0" distB="0" distL="114300" distR="114300" simplePos="0" relativeHeight="25243136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172085</wp:posOffset>
            </wp:positionV>
            <wp:extent cx="6158230" cy="8890"/>
            <wp:effectExtent l="0" t="0" r="0" b="0"/>
            <wp:wrapNone/>
            <wp:docPr id="1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64" w:lineRule="auto"/>
        <w:ind w:right="20"/>
        <w:jc w:val="center"/>
        <w:rPr>
          <w:rFonts w:ascii="Times New Roman" w:hAnsi="Times New Roman" w:eastAsia="Times New Roman"/>
        </w:rPr>
      </w:pPr>
    </w:p>
    <w:p>
      <w:pPr>
        <w:spacing w:line="264" w:lineRule="auto"/>
        <w:ind w:right="20"/>
        <w:jc w:val="center"/>
        <w:rPr>
          <w:rFonts w:ascii="Times New Roman" w:hAnsi="Times New Roman" w:eastAsia="Times New Roman"/>
        </w:rPr>
      </w:pPr>
    </w:p>
    <w:p>
      <w:pPr>
        <w:spacing w:line="264" w:lineRule="auto"/>
        <w:ind w:right="20"/>
        <w:jc w:val="center"/>
        <w:rPr>
          <w:rFonts w:ascii="Times New Roman" w:hAnsi="Times New Roman" w:eastAsia="Times New Roman"/>
        </w:rPr>
        <w:sectPr>
          <w:pgSz w:w="11900" w:h="16838"/>
          <w:pgMar w:top="545" w:right="1126" w:bottom="0" w:left="1140" w:header="0" w:footer="0" w:gutter="0"/>
          <w:cols w:equalWidth="0" w:num="1">
            <w:col w:w="9640"/>
          </w:cols>
          <w:docGrid w:linePitch="360" w:charSpace="0"/>
        </w:sectPr>
      </w:pPr>
      <w:r>
        <w:rPr>
          <w:rFonts w:ascii="Times New Roman" w:hAnsi="Times New Roman" w:eastAsia="Times New Roman"/>
        </w:rPr>
        <w:t>ХVII Міжнародна науково-технічна конференція «Фізичні процеси та поля технічних і біологічних об’єктів» 218</w:t>
      </w:r>
    </w:p>
    <w:p>
      <w:bookmarkStart w:id="1" w:name="_GoBack"/>
      <w:bookmarkEnd w:id="1"/>
    </w:p>
    <w:sectPr>
      <w:pgSz w:w="11906" w:h="16838"/>
      <w:pgMar w:top="1440" w:right="5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12"/>
      <w:numFmt w:val="none"/>
      <w:lvlText w:val="࿿࿿࿿_x0010_{"/>
      <w:legacy w:legacy="1" w:legacySpace="268374015" w:legacyIndent="268374015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5888"/>
      <w:numFmt w:val="decimal"/>
      <w:lvlText w:val=""/>
      <w:lvlJc w:val="left"/>
    </w:lvl>
    <w:lvl w:ilvl="5" w:tentative="0">
      <w:start w:val="5888"/>
      <w:numFmt w:val="decimal"/>
      <w:lvlText w:val=""/>
      <w:lvlJc w:val="left"/>
    </w:lvl>
    <w:lvl w:ilvl="6" w:tentative="0">
      <w:start w:val="5888"/>
      <w:numFmt w:val="decimal"/>
      <w:lvlText w:val=""/>
      <w:lvlJc w:val="left"/>
    </w:lvl>
    <w:lvl w:ilvl="7" w:tentative="0">
      <w:start w:val="5888"/>
      <w:numFmt w:val="decimal"/>
      <w:lvlText w:val=""/>
      <w:lvlJc w:val="left"/>
    </w:lvl>
    <w:lvl w:ilvl="8" w:tentative="0">
      <w:start w:val="5888"/>
      <w:numFmt w:val="decimal"/>
      <w:lvlText w:val=""/>
      <w:lvlJc w:val="left"/>
    </w:lvl>
  </w:abstractNum>
  <w:abstractNum w:abstractNumId="1">
    <w:nsid w:val="39ACA2D9"/>
    <w:multiLevelType w:val="singleLevel"/>
    <w:tmpl w:val="39ACA2D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E3F73"/>
    <w:rsid w:val="5D9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2018-12-04T06:46:00Z</dcterms:created>
  <dc:creator>shef</dc:creator>
  <cp:lastModifiedBy>shef</cp:lastModifiedBy>
  <dcterms:modified xsi:type="dcterms:W3CDTF">2018-12-04T06:50:02Z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