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58" w:rsidRPr="00012DC1" w:rsidRDefault="00F13F58" w:rsidP="00F13F58">
      <w:pPr>
        <w:spacing w:line="204" w:lineRule="auto"/>
        <w:jc w:val="center"/>
        <w:rPr>
          <w:rStyle w:val="10"/>
          <w:b/>
        </w:rPr>
      </w:pPr>
      <w:bookmarkStart w:id="0" w:name="_Toc291233094"/>
      <w:r w:rsidRPr="00012DC1">
        <w:rPr>
          <w:rStyle w:val="10"/>
          <w:b/>
        </w:rPr>
        <w:t>СЕКЦІЯ АВТОМАТИКИ ТА ЕЛЕКТРОПРИВОДА</w:t>
      </w:r>
      <w:bookmarkEnd w:id="0"/>
    </w:p>
    <w:p w:rsidR="00AE560E" w:rsidRPr="0029504E" w:rsidRDefault="00AE560E" w:rsidP="00C7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:rsidR="00C720A6" w:rsidRDefault="00C720A6" w:rsidP="00C72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УДК</w:t>
      </w:r>
      <w:r w:rsidR="00FC1C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004.</w:t>
      </w:r>
      <w:r w:rsidR="00DC593C">
        <w:rPr>
          <w:rFonts w:ascii="Times New Roman" w:hAnsi="Times New Roman" w:cs="Times New Roman"/>
          <w:b/>
          <w:sz w:val="28"/>
          <w:szCs w:val="28"/>
          <w:lang w:val="uk-UA"/>
        </w:rPr>
        <w:t>9:65.012</w:t>
      </w:r>
    </w:p>
    <w:p w:rsidR="00C8438E" w:rsidRDefault="00C720A6" w:rsidP="00C720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О.В.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Скакаліна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к.т.н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="00C8438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доцент</w:t>
      </w:r>
    </w:p>
    <w:p w:rsidR="00C8438E" w:rsidRDefault="00C8438E" w:rsidP="00C720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Національний університет </w:t>
      </w:r>
    </w:p>
    <w:p w:rsidR="00C720A6" w:rsidRDefault="00C8438E" w:rsidP="00C720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«Полтавська політехніка імені Юрія Кондратюка»</w:t>
      </w:r>
      <w:r w:rsidR="00C720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273504" w:rsidRDefault="00273504" w:rsidP="00C720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С.С. Носенко, магістр Навчально-науков</w:t>
      </w:r>
      <w:r w:rsidR="000708D9">
        <w:rPr>
          <w:rFonts w:ascii="Times New Roman" w:hAnsi="Times New Roman" w:cs="Times New Roman"/>
          <w:i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го інституту</w:t>
      </w:r>
    </w:p>
    <w:p w:rsidR="00273504" w:rsidRDefault="00273504" w:rsidP="00C720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Інформаційних технологій і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механотрон</w:t>
      </w:r>
      <w:r w:rsidR="000708D9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ки</w:t>
      </w:r>
      <w:proofErr w:type="spellEnd"/>
    </w:p>
    <w:p w:rsidR="00273504" w:rsidRDefault="00273504" w:rsidP="0027350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Національний університет </w:t>
      </w:r>
    </w:p>
    <w:p w:rsidR="00273504" w:rsidRDefault="00273504" w:rsidP="0027350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«Полтавська політехніка імені Юрія Кондратюка» </w:t>
      </w:r>
    </w:p>
    <w:p w:rsidR="00273504" w:rsidRDefault="00273504" w:rsidP="00C720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40C5F" w:rsidRDefault="00240C5F" w:rsidP="00240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312E5" w:rsidRPr="00AF505C" w:rsidRDefault="008319A9" w:rsidP="00AF5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ІНТЕЛЕКТУАЛЬНІ КОМПОНЕНТИ  СИСТЕМИ УПРАВЛІННЯ </w:t>
      </w:r>
    </w:p>
    <w:p w:rsidR="008C4863" w:rsidRDefault="00F240C9" w:rsidP="00F240C9">
      <w:pPr>
        <w:pStyle w:val="Defaul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ЛОГІСТИКОЮ В </w:t>
      </w:r>
      <w:r w:rsidRPr="00F240C9">
        <w:rPr>
          <w:b/>
          <w:sz w:val="28"/>
          <w:szCs w:val="28"/>
          <w:lang w:val="uk-UA"/>
        </w:rPr>
        <w:t>ГОСПОДАРЮЮЧ</w:t>
      </w:r>
      <w:r>
        <w:rPr>
          <w:b/>
          <w:sz w:val="28"/>
          <w:szCs w:val="28"/>
          <w:lang w:val="uk-UA"/>
        </w:rPr>
        <w:t>ІХ</w:t>
      </w:r>
      <w:r w:rsidRPr="00F240C9">
        <w:rPr>
          <w:b/>
          <w:sz w:val="28"/>
          <w:szCs w:val="28"/>
          <w:lang w:val="uk-UA"/>
        </w:rPr>
        <w:t xml:space="preserve"> СУБЄКТА</w:t>
      </w:r>
      <w:r>
        <w:rPr>
          <w:b/>
          <w:sz w:val="28"/>
          <w:szCs w:val="28"/>
          <w:lang w:val="uk-UA"/>
        </w:rPr>
        <w:t>Х</w:t>
      </w:r>
    </w:p>
    <w:p w:rsidR="00C67219" w:rsidRDefault="008C4863" w:rsidP="00CE61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3504">
        <w:rPr>
          <w:lang w:val="uk-UA"/>
        </w:rPr>
        <w:t xml:space="preserve"> </w:t>
      </w:r>
      <w:r w:rsidR="00522865" w:rsidRPr="00273504">
        <w:rPr>
          <w:lang w:val="uk-UA"/>
        </w:rPr>
        <w:tab/>
      </w:r>
      <w:r w:rsidR="00431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E6172" w:rsidRPr="00CE6172" w:rsidRDefault="00CE6172" w:rsidP="00CE61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6172">
        <w:rPr>
          <w:rFonts w:ascii="Times New Roman" w:hAnsi="Times New Roman" w:cs="Times New Roman"/>
          <w:sz w:val="24"/>
          <w:szCs w:val="24"/>
          <w:lang w:val="uk-UA"/>
        </w:rPr>
        <w:t>Розвиток практики і теорії логістичного менеджменту привело на початку XXI століття до формування нових підходів до управління ланцюгами поставок і появи концепції п'ятого рівня логістичних провайдерів - 5PL. У дослівному перекладі 5PL (</w:t>
      </w:r>
      <w:proofErr w:type="spellStart"/>
      <w:r w:rsidRPr="00CE6172">
        <w:rPr>
          <w:rFonts w:ascii="Times New Roman" w:hAnsi="Times New Roman" w:cs="Times New Roman"/>
          <w:i/>
          <w:sz w:val="24"/>
          <w:szCs w:val="24"/>
          <w:lang w:val="uk-UA"/>
        </w:rPr>
        <w:t>Fifth</w:t>
      </w:r>
      <w:proofErr w:type="spellEnd"/>
      <w:r w:rsidRPr="00CE617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E6172">
        <w:rPr>
          <w:rFonts w:ascii="Times New Roman" w:hAnsi="Times New Roman" w:cs="Times New Roman"/>
          <w:i/>
          <w:sz w:val="24"/>
          <w:szCs w:val="24"/>
          <w:lang w:val="uk-UA"/>
        </w:rPr>
        <w:t>Party</w:t>
      </w:r>
      <w:proofErr w:type="spellEnd"/>
      <w:r w:rsidRPr="00CE617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E6172">
        <w:rPr>
          <w:rFonts w:ascii="Times New Roman" w:hAnsi="Times New Roman" w:cs="Times New Roman"/>
          <w:i/>
          <w:sz w:val="24"/>
          <w:szCs w:val="24"/>
          <w:lang w:val="uk-UA"/>
        </w:rPr>
        <w:t>Logistics</w:t>
      </w:r>
      <w:proofErr w:type="spellEnd"/>
      <w:r w:rsidRPr="00CE6172">
        <w:rPr>
          <w:rFonts w:ascii="Times New Roman" w:hAnsi="Times New Roman" w:cs="Times New Roman"/>
          <w:sz w:val="24"/>
          <w:szCs w:val="24"/>
          <w:lang w:val="uk-UA"/>
        </w:rPr>
        <w:t>) - логістика п'ятої боку, під боком можна розуміти рівень учасника. Відповідно, 5PL-провайдери (</w:t>
      </w:r>
      <w:proofErr w:type="spellStart"/>
      <w:r w:rsidRPr="00CE6172">
        <w:rPr>
          <w:rFonts w:ascii="Times New Roman" w:hAnsi="Times New Roman" w:cs="Times New Roman"/>
          <w:i/>
          <w:sz w:val="24"/>
          <w:szCs w:val="24"/>
          <w:lang w:val="uk-UA"/>
        </w:rPr>
        <w:t>Fifth</w:t>
      </w:r>
      <w:proofErr w:type="spellEnd"/>
      <w:r w:rsidRPr="00CE617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E6172">
        <w:rPr>
          <w:rFonts w:ascii="Times New Roman" w:hAnsi="Times New Roman" w:cs="Times New Roman"/>
          <w:i/>
          <w:sz w:val="24"/>
          <w:szCs w:val="24"/>
          <w:lang w:val="uk-UA"/>
        </w:rPr>
        <w:t>Party</w:t>
      </w:r>
      <w:proofErr w:type="spellEnd"/>
      <w:r w:rsidRPr="00CE617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E6172">
        <w:rPr>
          <w:rFonts w:ascii="Times New Roman" w:hAnsi="Times New Roman" w:cs="Times New Roman"/>
          <w:i/>
          <w:sz w:val="24"/>
          <w:szCs w:val="24"/>
          <w:lang w:val="uk-UA"/>
        </w:rPr>
        <w:t>Logistics</w:t>
      </w:r>
      <w:proofErr w:type="spellEnd"/>
      <w:r w:rsidRPr="00CE617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E6172">
        <w:rPr>
          <w:rFonts w:ascii="Times New Roman" w:hAnsi="Times New Roman" w:cs="Times New Roman"/>
          <w:i/>
          <w:sz w:val="24"/>
          <w:szCs w:val="24"/>
          <w:lang w:val="uk-UA"/>
        </w:rPr>
        <w:t>Providers</w:t>
      </w:r>
      <w:proofErr w:type="spellEnd"/>
      <w:r w:rsidRPr="00CE6172">
        <w:rPr>
          <w:rFonts w:ascii="Times New Roman" w:hAnsi="Times New Roman" w:cs="Times New Roman"/>
          <w:sz w:val="24"/>
          <w:szCs w:val="24"/>
          <w:lang w:val="uk-UA"/>
        </w:rPr>
        <w:t xml:space="preserve">) - постачальники логістичних послуг або логістичні провайдери п'ятого рівня. Розвиток логістичних провайдерів в каналах руху матеріальних потоків обумовлено поширенням </w:t>
      </w:r>
      <w:proofErr w:type="spellStart"/>
      <w:r w:rsidRPr="00CE6172">
        <w:rPr>
          <w:rFonts w:ascii="Times New Roman" w:hAnsi="Times New Roman" w:cs="Times New Roman"/>
          <w:sz w:val="24"/>
          <w:szCs w:val="24"/>
          <w:lang w:val="uk-UA"/>
        </w:rPr>
        <w:t>клієнто</w:t>
      </w:r>
      <w:proofErr w:type="spellEnd"/>
      <w:r w:rsidR="008B2F3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E6172">
        <w:rPr>
          <w:rFonts w:ascii="Times New Roman" w:hAnsi="Times New Roman" w:cs="Times New Roman"/>
          <w:sz w:val="24"/>
          <w:szCs w:val="24"/>
          <w:lang w:val="uk-UA"/>
        </w:rPr>
        <w:t>орієнтованого підходу в логістиці. Рух матеріального потоку, яке забезпечує транспортний перевізник, є, без сумніву, головною логістичною функцією. Однак, в умовах глобалізації, розвитку інформаційної економіки, зокрема, електронної комерції, головним виступає інформаційний потік, і пов'язаний з ним логістичний сервіс. У концептуальному плані, 5PL-провайдер не є фізичним об'єктом, а є радше інформаційної організаційною системою, надбудовувати на фізичні об'єкти. Провайдера рівня 5PL називають IT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CE6172">
        <w:rPr>
          <w:rFonts w:ascii="Times New Roman" w:hAnsi="Times New Roman" w:cs="Times New Roman"/>
          <w:sz w:val="24"/>
          <w:szCs w:val="24"/>
          <w:lang w:val="uk-UA"/>
        </w:rPr>
        <w:t>інтегратор в ланцюгах поставок. Ключовою компетенцією 5PL-провайдерів є управління інформацією в єдиному інформаційному просторі, а цінністю - оптимізація всіх бізнес-процесів клієнта на базі інформаційних технологій [1].</w:t>
      </w:r>
    </w:p>
    <w:p w:rsidR="00CE6172" w:rsidRDefault="00CE6172" w:rsidP="00CE617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172">
        <w:rPr>
          <w:rFonts w:ascii="Times New Roman" w:hAnsi="Times New Roman" w:cs="Times New Roman"/>
          <w:sz w:val="24"/>
          <w:szCs w:val="24"/>
          <w:lang w:val="uk-UA"/>
        </w:rPr>
        <w:t>Суб'єкт управління в інформаційній системі 5PL може виконувати торгові функції, приймати рішення по розподілу виробництва, збуту, формування комплектів логістичних послуг та інші. У режимі реального часу в системі циркулює інформація про попит та пропозицію на товари та супутні логістичні послуги, підтримується зворотний зв'язок з учасниками системи. Це дозволяє миттєво отримувати інформацію суб'єкту управління і все учасникам і, в ідеалі, миттєво приймати рішення [2].</w:t>
      </w:r>
    </w:p>
    <w:p w:rsidR="00D30C24" w:rsidRPr="009E1186" w:rsidRDefault="00D30C24" w:rsidP="00D30C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C24">
        <w:rPr>
          <w:rFonts w:ascii="Times New Roman" w:hAnsi="Times New Roman" w:cs="Times New Roman"/>
          <w:sz w:val="24"/>
          <w:szCs w:val="24"/>
          <w:lang w:val="uk-UA"/>
        </w:rPr>
        <w:t xml:space="preserve">Єдиним сектором економіки України, який продемонстрував зростання в умовах світової кризи, є аграрний сектор. Прибутковість АХ України в два рази вище, ніж у аналогічних структур в інших країнах. На частку України припадає 75% європейських і 25% світових запасів чорноземів. За даними </w:t>
      </w:r>
      <w:proofErr w:type="spellStart"/>
      <w:r w:rsidRPr="00281633">
        <w:rPr>
          <w:rFonts w:ascii="Times New Roman" w:hAnsi="Times New Roman" w:cs="Times New Roman"/>
          <w:i/>
          <w:sz w:val="24"/>
          <w:szCs w:val="24"/>
          <w:lang w:val="uk-UA"/>
        </w:rPr>
        <w:t>Food</w:t>
      </w:r>
      <w:proofErr w:type="spellEnd"/>
      <w:r w:rsidRPr="0028163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81633">
        <w:rPr>
          <w:rFonts w:ascii="Times New Roman" w:hAnsi="Times New Roman" w:cs="Times New Roman"/>
          <w:i/>
          <w:sz w:val="24"/>
          <w:szCs w:val="24"/>
          <w:lang w:val="uk-UA"/>
        </w:rPr>
        <w:t>and</w:t>
      </w:r>
      <w:proofErr w:type="spellEnd"/>
      <w:r w:rsidRPr="0028163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81633">
        <w:rPr>
          <w:rFonts w:ascii="Times New Roman" w:hAnsi="Times New Roman" w:cs="Times New Roman"/>
          <w:i/>
          <w:sz w:val="24"/>
          <w:szCs w:val="24"/>
          <w:lang w:val="uk-UA"/>
        </w:rPr>
        <w:t>Agriculture</w:t>
      </w:r>
      <w:proofErr w:type="spellEnd"/>
      <w:r w:rsidRPr="0028163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81633">
        <w:rPr>
          <w:rFonts w:ascii="Times New Roman" w:hAnsi="Times New Roman" w:cs="Times New Roman"/>
          <w:i/>
          <w:sz w:val="24"/>
          <w:szCs w:val="24"/>
          <w:lang w:val="uk-UA"/>
        </w:rPr>
        <w:t>Organization</w:t>
      </w:r>
      <w:proofErr w:type="spellEnd"/>
      <w:r w:rsidRPr="0028163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(FAO</w:t>
      </w:r>
      <w:r w:rsidRPr="00D30C24">
        <w:rPr>
          <w:rFonts w:ascii="Times New Roman" w:hAnsi="Times New Roman" w:cs="Times New Roman"/>
          <w:sz w:val="24"/>
          <w:szCs w:val="24"/>
          <w:lang w:val="uk-UA"/>
        </w:rPr>
        <w:t xml:space="preserve">) (Продовольча і сільськогосподарська організація ООН) до 2050 року чисельність населення зросте до 9.1 млрд чоловік. Обсяг агровиробництва повинен буде вирости на 70% за той же період. Ключову роль для збереження конкурентоспроможності </w:t>
      </w:r>
      <w:r w:rsidR="007404D3">
        <w:rPr>
          <w:rFonts w:ascii="Times New Roman" w:hAnsi="Times New Roman" w:cs="Times New Roman"/>
          <w:sz w:val="24"/>
          <w:szCs w:val="24"/>
          <w:lang w:val="uk-UA"/>
        </w:rPr>
        <w:t>національних</w:t>
      </w:r>
      <w:r w:rsidRPr="00D30C24">
        <w:rPr>
          <w:rFonts w:ascii="Times New Roman" w:hAnsi="Times New Roman" w:cs="Times New Roman"/>
          <w:sz w:val="24"/>
          <w:szCs w:val="24"/>
          <w:lang w:val="uk-UA"/>
        </w:rPr>
        <w:t xml:space="preserve"> АХ будуть грати їх системи управління (структурний капітал) і трудові </w:t>
      </w:r>
      <w:r w:rsidRPr="00D30C24">
        <w:rPr>
          <w:rFonts w:ascii="Times New Roman" w:hAnsi="Times New Roman" w:cs="Times New Roman"/>
          <w:sz w:val="24"/>
          <w:szCs w:val="24"/>
          <w:lang w:val="uk-UA"/>
        </w:rPr>
        <w:lastRenderedPageBreak/>
        <w:t>ресурси. Якість функціонування сучасного агровиробництва багато в чому визначається рішеннями, прийнятими на етапах календарного планування і оперативного управління.</w:t>
      </w:r>
      <w:r w:rsidR="009E1186">
        <w:rPr>
          <w:rFonts w:ascii="Times New Roman" w:hAnsi="Times New Roman" w:cs="Times New Roman"/>
          <w:sz w:val="24"/>
          <w:szCs w:val="24"/>
          <w:lang w:val="uk-UA"/>
        </w:rPr>
        <w:t xml:space="preserve"> Тому дуже важливим фактором  оптимального  управління будь-якою складною розподіленою системою, до яких відносяться національні АХ, є наявність адекватної системи підтримки прийняття рішень (СППР). Цей клас систем базується  на багатьох концепціях :  </w:t>
      </w:r>
      <w:r w:rsidR="009E1186">
        <w:rPr>
          <w:rFonts w:ascii="Times New Roman" w:hAnsi="Times New Roman" w:cs="Times New Roman"/>
          <w:sz w:val="24"/>
          <w:szCs w:val="24"/>
        </w:rPr>
        <w:t>ERP</w:t>
      </w:r>
      <w:r w:rsidR="009E1186" w:rsidRPr="009E11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E1186">
        <w:rPr>
          <w:rFonts w:ascii="Times New Roman" w:hAnsi="Times New Roman" w:cs="Times New Roman"/>
          <w:sz w:val="24"/>
          <w:szCs w:val="24"/>
        </w:rPr>
        <w:t>BPM</w:t>
      </w:r>
      <w:r w:rsidR="009E1186" w:rsidRPr="009E11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E1186">
        <w:rPr>
          <w:rFonts w:ascii="Times New Roman" w:hAnsi="Times New Roman" w:cs="Times New Roman"/>
          <w:sz w:val="24"/>
          <w:szCs w:val="24"/>
        </w:rPr>
        <w:t>CRM</w:t>
      </w:r>
      <w:r w:rsidR="009E1186" w:rsidRPr="009E1186">
        <w:rPr>
          <w:rFonts w:ascii="Times New Roman" w:hAnsi="Times New Roman" w:cs="Times New Roman"/>
          <w:sz w:val="24"/>
          <w:szCs w:val="24"/>
          <w:lang w:val="uk-UA"/>
        </w:rPr>
        <w:t xml:space="preserve">, що мають у своєму складі </w:t>
      </w:r>
      <w:r w:rsidR="009E1186">
        <w:rPr>
          <w:rFonts w:ascii="Times New Roman" w:hAnsi="Times New Roman" w:cs="Times New Roman"/>
          <w:sz w:val="24"/>
          <w:szCs w:val="24"/>
          <w:lang w:val="uk-UA"/>
        </w:rPr>
        <w:t xml:space="preserve">програмні </w:t>
      </w:r>
      <w:r w:rsidR="009E1186" w:rsidRPr="009E1186">
        <w:rPr>
          <w:rFonts w:ascii="Times New Roman" w:hAnsi="Times New Roman" w:cs="Times New Roman"/>
          <w:sz w:val="24"/>
          <w:szCs w:val="24"/>
          <w:lang w:val="uk-UA"/>
        </w:rPr>
        <w:t>реалізації інтелектуальних інформаційних технологій.</w:t>
      </w:r>
    </w:p>
    <w:p w:rsidR="00A2089B" w:rsidRPr="00A2089B" w:rsidRDefault="009263D6" w:rsidP="009E118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У</w:t>
      </w:r>
      <w:r w:rsidR="00A2089B" w:rsidRPr="00A2089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роботі були виконані наступні задачі :</w:t>
      </w:r>
    </w:p>
    <w:p w:rsidR="00A2089B" w:rsidRPr="00A2089B" w:rsidRDefault="00A2089B" w:rsidP="00A2089B">
      <w:pPr>
        <w:numPr>
          <w:ilvl w:val="0"/>
          <w:numId w:val="5"/>
        </w:numPr>
        <w:shd w:val="clear" w:color="auto" w:fill="FFFFFF"/>
        <w:tabs>
          <w:tab w:val="left" w:pos="567"/>
          <w:tab w:val="left" w:pos="993"/>
        </w:tabs>
        <w:spacing w:afterLines="30" w:after="72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089B">
        <w:rPr>
          <w:rFonts w:ascii="Times New Roman" w:hAnsi="Times New Roman" w:cs="Times New Roman"/>
          <w:sz w:val="24"/>
          <w:szCs w:val="24"/>
          <w:lang w:val="uk-UA"/>
        </w:rPr>
        <w:t>проаналізовано сучасний стан засобів керування проектами;</w:t>
      </w:r>
    </w:p>
    <w:p w:rsidR="00A2089B" w:rsidRPr="00A2089B" w:rsidRDefault="00A2089B" w:rsidP="00A2089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Lines="30" w:after="72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089B">
        <w:rPr>
          <w:rFonts w:ascii="Times New Roman" w:hAnsi="Times New Roman" w:cs="Times New Roman"/>
          <w:sz w:val="24"/>
          <w:szCs w:val="24"/>
          <w:lang w:val="uk-UA"/>
        </w:rPr>
        <w:t xml:space="preserve">виконаний порівняльний аналіз засобів керування проектами та вибраний адекватний – </w:t>
      </w:r>
      <w:r w:rsidRPr="00281633">
        <w:rPr>
          <w:rFonts w:ascii="Times New Roman" w:hAnsi="Times New Roman" w:cs="Times New Roman"/>
          <w:i/>
          <w:sz w:val="24"/>
          <w:szCs w:val="24"/>
        </w:rPr>
        <w:t>MS</w:t>
      </w:r>
      <w:r w:rsidRPr="0028163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81633">
        <w:rPr>
          <w:rFonts w:ascii="Times New Roman" w:hAnsi="Times New Roman" w:cs="Times New Roman"/>
          <w:i/>
          <w:sz w:val="24"/>
          <w:szCs w:val="24"/>
        </w:rPr>
        <w:t>Project</w:t>
      </w:r>
      <w:r w:rsidRPr="00A2089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2089B" w:rsidRPr="00A2089B" w:rsidRDefault="00A2089B" w:rsidP="00A2089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Lines="30" w:after="72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089B">
        <w:rPr>
          <w:rFonts w:ascii="Times New Roman" w:hAnsi="Times New Roman" w:cs="Times New Roman"/>
          <w:sz w:val="24"/>
          <w:szCs w:val="24"/>
          <w:lang w:val="uk-UA"/>
        </w:rPr>
        <w:t>створений оптимізований план сезонних робіт по вирощуванню озимої пшениці;</w:t>
      </w:r>
    </w:p>
    <w:p w:rsidR="00A2089B" w:rsidRPr="00A2089B" w:rsidRDefault="00A2089B" w:rsidP="00A2089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Lines="30" w:after="72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089B">
        <w:rPr>
          <w:rFonts w:ascii="Times New Roman" w:hAnsi="Times New Roman" w:cs="Times New Roman"/>
          <w:sz w:val="24"/>
          <w:szCs w:val="24"/>
          <w:lang w:val="uk-UA"/>
        </w:rPr>
        <w:t xml:space="preserve">первинний план був оптимізований на </w:t>
      </w:r>
      <w:r w:rsidRPr="00A2089B">
        <w:rPr>
          <w:rFonts w:ascii="Times New Roman" w:hAnsi="Times New Roman" w:cs="Times New Roman"/>
          <w:noProof/>
          <w:sz w:val="24"/>
          <w:szCs w:val="24"/>
          <w:lang w:val="ru-RU"/>
        </w:rPr>
        <w:t>25</w:t>
      </w:r>
      <w:r w:rsidRPr="00A2089B">
        <w:rPr>
          <w:rFonts w:ascii="Times New Roman" w:hAnsi="Times New Roman" w:cs="Times New Roman"/>
          <w:noProof/>
          <w:sz w:val="24"/>
          <w:szCs w:val="24"/>
        </w:rPr>
        <w:t> </w:t>
      </w:r>
      <w:r w:rsidRPr="00A2089B">
        <w:rPr>
          <w:rFonts w:ascii="Times New Roman" w:hAnsi="Times New Roman" w:cs="Times New Roman"/>
          <w:noProof/>
          <w:sz w:val="24"/>
          <w:szCs w:val="24"/>
          <w:lang w:val="ru-RU"/>
        </w:rPr>
        <w:t>523,17 грн</w:t>
      </w:r>
      <w:r w:rsidRPr="00A2089B">
        <w:rPr>
          <w:rFonts w:ascii="Times New Roman" w:hAnsi="Times New Roman" w:cs="Times New Roman"/>
          <w:noProof/>
          <w:sz w:val="24"/>
          <w:szCs w:val="24"/>
          <w:lang w:val="uk-UA"/>
        </w:rPr>
        <w:t>, тобто 1,2%</w:t>
      </w:r>
      <w:r w:rsidRPr="00A2089B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та 3 дні</w:t>
      </w:r>
      <w:r w:rsidRPr="00A2089B">
        <w:rPr>
          <w:rFonts w:ascii="Times New Roman" w:hAnsi="Times New Roman" w:cs="Times New Roman"/>
          <w:noProof/>
          <w:sz w:val="24"/>
          <w:szCs w:val="24"/>
          <w:lang w:val="uk-UA"/>
        </w:rPr>
        <w:t>;</w:t>
      </w:r>
    </w:p>
    <w:p w:rsidR="00A2089B" w:rsidRPr="00A2089B" w:rsidRDefault="00A2089B" w:rsidP="00A2089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Lines="30" w:after="72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089B">
        <w:rPr>
          <w:rFonts w:ascii="Times New Roman" w:hAnsi="Times New Roman" w:cs="Times New Roman"/>
          <w:sz w:val="24"/>
          <w:szCs w:val="24"/>
          <w:lang w:val="uk-UA"/>
        </w:rPr>
        <w:t>на етапі перевезень врожаю виконана оптимізація витрат;</w:t>
      </w:r>
    </w:p>
    <w:p w:rsidR="00A2089B" w:rsidRDefault="00A2089B" w:rsidP="00A2089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Lines="30" w:after="72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089B">
        <w:rPr>
          <w:rFonts w:ascii="Times New Roman" w:hAnsi="Times New Roman" w:cs="Times New Roman"/>
          <w:sz w:val="24"/>
          <w:szCs w:val="24"/>
          <w:lang w:val="uk-UA"/>
        </w:rPr>
        <w:t>етап перевезення був оптимізований на 37 624,44 грн, тобто 52,85%.</w:t>
      </w:r>
    </w:p>
    <w:p w:rsidR="00927077" w:rsidRPr="00927077" w:rsidRDefault="00927077" w:rsidP="0092707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2707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Загальна схема запропонованої двох-етапної інформаційної технології оптимізації управління </w:t>
      </w:r>
      <w:r w:rsidR="002E7D3E" w:rsidRPr="002E7D3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[3] </w:t>
      </w:r>
      <w:r w:rsidRPr="00927077">
        <w:rPr>
          <w:rFonts w:ascii="Times New Roman" w:hAnsi="Times New Roman" w:cs="Times New Roman"/>
          <w:noProof/>
          <w:sz w:val="24"/>
          <w:szCs w:val="24"/>
          <w:lang w:val="uk-UA"/>
        </w:rPr>
        <w:t>представлена на рисунку 1.</w:t>
      </w:r>
    </w:p>
    <w:p w:rsidR="00927077" w:rsidRPr="00927077" w:rsidRDefault="00927077" w:rsidP="0092707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927077">
        <w:rPr>
          <w:noProof/>
          <w:sz w:val="24"/>
          <w:szCs w:val="24"/>
        </w:rPr>
        <w:drawing>
          <wp:inline distT="0" distB="0" distL="0" distR="0" wp14:anchorId="22D4C6A2" wp14:editId="57D505C6">
            <wp:extent cx="6002655" cy="1263015"/>
            <wp:effectExtent l="0" t="19050" r="0" b="3238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927077" w:rsidRPr="00927077" w:rsidRDefault="00927077" w:rsidP="0092707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Рисунок </w:t>
      </w:r>
      <w:r w:rsidRPr="00927077">
        <w:rPr>
          <w:rFonts w:ascii="Times New Roman" w:hAnsi="Times New Roman" w:cs="Times New Roman"/>
          <w:noProof/>
          <w:sz w:val="24"/>
          <w:szCs w:val="24"/>
          <w:lang w:val="uk-UA"/>
        </w:rPr>
        <w:t>1 – Загальна схема двох-етапної</w:t>
      </w:r>
      <w:r w:rsidR="0008089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інтелектуальної </w:t>
      </w:r>
      <w:r w:rsidRPr="0092707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інформаційної технології</w:t>
      </w:r>
    </w:p>
    <w:p w:rsidR="00927077" w:rsidRPr="00927077" w:rsidRDefault="00927077" w:rsidP="00927077">
      <w:pPr>
        <w:shd w:val="clear" w:color="auto" w:fill="FFFFFF"/>
        <w:tabs>
          <w:tab w:val="left" w:pos="993"/>
        </w:tabs>
        <w:spacing w:afterLines="30" w:after="72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089B" w:rsidRPr="00A2089B" w:rsidRDefault="00A2089B" w:rsidP="00A2089B">
      <w:pPr>
        <w:shd w:val="clear" w:color="auto" w:fill="FFFFFF"/>
        <w:tabs>
          <w:tab w:val="left" w:pos="993"/>
        </w:tabs>
        <w:spacing w:afterLines="30" w:after="72" w:line="240" w:lineRule="auto"/>
        <w:ind w:left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089B">
        <w:rPr>
          <w:rFonts w:ascii="Times New Roman" w:hAnsi="Times New Roman" w:cs="Times New Roman"/>
          <w:sz w:val="24"/>
          <w:szCs w:val="24"/>
          <w:lang w:val="uk-UA"/>
        </w:rPr>
        <w:t xml:space="preserve">Таблиця </w:t>
      </w:r>
      <w:r w:rsidR="00964F2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2089B">
        <w:rPr>
          <w:rFonts w:ascii="Times New Roman" w:hAnsi="Times New Roman" w:cs="Times New Roman"/>
          <w:sz w:val="24"/>
          <w:szCs w:val="24"/>
          <w:lang w:val="uk-UA"/>
        </w:rPr>
        <w:t xml:space="preserve">. Результати двох-етапної оптимізації </w:t>
      </w:r>
    </w:p>
    <w:tbl>
      <w:tblPr>
        <w:tblpPr w:leftFromText="180" w:rightFromText="180" w:vertAnchor="text" w:horzAnchor="margin" w:tblpY="3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1604"/>
        <w:gridCol w:w="1605"/>
        <w:gridCol w:w="1605"/>
        <w:gridCol w:w="1595"/>
        <w:gridCol w:w="2130"/>
      </w:tblGrid>
      <w:tr w:rsidR="00A2089B" w:rsidRPr="00F13F58" w:rsidTr="00450656">
        <w:trPr>
          <w:trHeight w:val="1145"/>
        </w:trPr>
        <w:tc>
          <w:tcPr>
            <w:tcW w:w="1492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Первинний</w:t>
            </w:r>
            <w:r w:rsidRPr="00A20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89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605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Оптимізація первинного плану</w:t>
            </w:r>
          </w:p>
        </w:tc>
        <w:tc>
          <w:tcPr>
            <w:tcW w:w="1605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Оптимізація генетичним алгоритмом</w:t>
            </w:r>
          </w:p>
        </w:tc>
        <w:tc>
          <w:tcPr>
            <w:tcW w:w="1595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етапу перевезення урожаю до оптимізації</w:t>
            </w:r>
          </w:p>
        </w:tc>
        <w:tc>
          <w:tcPr>
            <w:tcW w:w="2130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етапу перевезення урожаю після оптимізації</w:t>
            </w:r>
          </w:p>
        </w:tc>
      </w:tr>
      <w:tr w:rsidR="00A2089B" w:rsidRPr="00A2089B" w:rsidTr="00450656">
        <w:trPr>
          <w:trHeight w:val="314"/>
        </w:trPr>
        <w:tc>
          <w:tcPr>
            <w:tcW w:w="1492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04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05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2089B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605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95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30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2089B" w:rsidRPr="00A2089B" w:rsidTr="00450656">
        <w:trPr>
          <w:trHeight w:val="319"/>
        </w:trPr>
        <w:tc>
          <w:tcPr>
            <w:tcW w:w="1492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∑ (грн.)</w:t>
            </w:r>
          </w:p>
        </w:tc>
        <w:tc>
          <w:tcPr>
            <w:tcW w:w="1604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2 120 689,19 грн</w:t>
            </w:r>
          </w:p>
        </w:tc>
        <w:tc>
          <w:tcPr>
            <w:tcW w:w="1605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2 095 166,02 </w:t>
            </w: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05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2 057 541,67 грн</w:t>
            </w:r>
          </w:p>
        </w:tc>
        <w:tc>
          <w:tcPr>
            <w:tcW w:w="1595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79 798,5 </w:t>
            </w:r>
          </w:p>
          <w:p w:rsidR="00A2089B" w:rsidRPr="00A2089B" w:rsidRDefault="00A2089B" w:rsidP="0045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130" w:type="dxa"/>
            <w:shd w:val="clear" w:color="auto" w:fill="auto"/>
          </w:tcPr>
          <w:p w:rsidR="00A2089B" w:rsidRPr="00A2089B" w:rsidRDefault="00A2089B" w:rsidP="0045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42 174,06 грн</w:t>
            </w:r>
          </w:p>
        </w:tc>
      </w:tr>
    </w:tbl>
    <w:p w:rsidR="00A2089B" w:rsidRPr="00A2089B" w:rsidRDefault="00A2089B" w:rsidP="00A2089B">
      <w:pPr>
        <w:shd w:val="clear" w:color="auto" w:fill="FFFFFF"/>
        <w:spacing w:afterLines="30" w:after="72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A2089B" w:rsidRPr="00A2089B" w:rsidRDefault="00A2089B" w:rsidP="00A208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089B">
        <w:rPr>
          <w:rFonts w:ascii="Times New Roman" w:hAnsi="Times New Roman" w:cs="Times New Roman"/>
          <w:sz w:val="24"/>
          <w:szCs w:val="24"/>
          <w:lang w:val="uk-UA"/>
        </w:rPr>
        <w:t>Порівнявши результати оптимізації, можна зробити висновок про доцільність застосування оптимізаційних методів в управлінні проектами. Спроби створити універсальну ІТ-систему, яка охоплювала б усі аспекти управлінської та виробничої діяльності, робилися неодноразово і, зокрема, в сфері управління   підприємствами. Практика показала, що впровадження систем ERP настільки трудомістким (витрати на впровадження ERP багаторазово перевершують витрати на ліцензії на ПЗ), що в повному обсязі їх функціонал використовувати більшості компаній просто не під силу.</w:t>
      </w:r>
    </w:p>
    <w:p w:rsidR="00A2089B" w:rsidRPr="00A2089B" w:rsidRDefault="00A2089B" w:rsidP="00A208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089B">
        <w:rPr>
          <w:rFonts w:ascii="Times New Roman" w:hAnsi="Times New Roman" w:cs="Times New Roman"/>
          <w:sz w:val="24"/>
          <w:szCs w:val="24"/>
          <w:lang w:val="uk-UA"/>
        </w:rPr>
        <w:t xml:space="preserve">З появою BPM тяга до глобалізму стала поступово йти в минуле - навіть великі постачальники рішень ERP позиціонують BPM не як єдине ціле в складі ERP, а як окремий модуль в платформі. На місце глобалізму прийшло більш раціональне рішення - </w:t>
      </w:r>
      <w:r w:rsidRPr="00A2089B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відмовитися від переписування старих систем на користь їх інтеграції в єдиний інформаційний простір. Як правило, кожен додаток або автоматизована ділянка, в контексті ERP, охоплює одну функціональну область. В рамках конц</w:t>
      </w:r>
      <w:r w:rsidR="00964F2C">
        <w:rPr>
          <w:rFonts w:ascii="Times New Roman" w:hAnsi="Times New Roman" w:cs="Times New Roman"/>
          <w:sz w:val="24"/>
          <w:szCs w:val="24"/>
          <w:lang w:val="uk-UA"/>
        </w:rPr>
        <w:t xml:space="preserve">епції процесного управління </w:t>
      </w:r>
      <w:proofErr w:type="spellStart"/>
      <w:r w:rsidR="00964F2C">
        <w:rPr>
          <w:rFonts w:ascii="Times New Roman" w:hAnsi="Times New Roman" w:cs="Times New Roman"/>
          <w:sz w:val="24"/>
          <w:szCs w:val="24"/>
          <w:lang w:val="uk-UA"/>
        </w:rPr>
        <w:t>логи</w:t>
      </w:r>
      <w:r w:rsidRPr="00A2089B">
        <w:rPr>
          <w:rFonts w:ascii="Times New Roman" w:hAnsi="Times New Roman" w:cs="Times New Roman"/>
          <w:sz w:val="24"/>
          <w:szCs w:val="24"/>
          <w:lang w:val="uk-UA"/>
        </w:rPr>
        <w:t>чно</w:t>
      </w:r>
      <w:proofErr w:type="spellEnd"/>
      <w:r w:rsidRPr="00A2089B">
        <w:rPr>
          <w:rFonts w:ascii="Times New Roman" w:hAnsi="Times New Roman" w:cs="Times New Roman"/>
          <w:sz w:val="24"/>
          <w:szCs w:val="24"/>
          <w:lang w:val="uk-UA"/>
        </w:rPr>
        <w:t xml:space="preserve"> пов'язувати функціональні додатки з процесами, щоб забезпечити крос-функціональну  взаємодію не тільки на рівні користувачів, а й на рівні систем. Таким чином, запропонована концепція отримання синергетичного ефекту від інтеграції інформаційних технологій є  практичною реалізацією методології різних механізмів інтеграції: інтеграція крізь дані, інтеграція крізь сервіси, що на наступному кроці надає можливість застосування алгоритмів  оптимізації бізнес-процесів та мінімізації витрат на різних рівнях управління. </w:t>
      </w:r>
    </w:p>
    <w:p w:rsidR="002B7927" w:rsidRDefault="002B7927" w:rsidP="008F73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8F73DD" w:rsidRDefault="008F73DD" w:rsidP="008F73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F73DD">
        <w:rPr>
          <w:rFonts w:ascii="Times New Roman" w:hAnsi="Times New Roman" w:cs="Times New Roman"/>
          <w:i/>
          <w:sz w:val="24"/>
          <w:szCs w:val="24"/>
          <w:lang w:val="uk-UA"/>
        </w:rPr>
        <w:t>Література</w:t>
      </w:r>
    </w:p>
    <w:p w:rsidR="00BB3E90" w:rsidRDefault="00BB3E90" w:rsidP="008F73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8F73DD" w:rsidRDefault="005F7A07" w:rsidP="005F7A07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Aytbagina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E. R.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Role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of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"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Third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Party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Logistics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"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and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"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Third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Party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Logistics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Provider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".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Engineering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and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Construction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Technology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2016,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no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2 (6),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pp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. 2. (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In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Russ</w:t>
      </w:r>
      <w:proofErr w:type="spellEnd"/>
      <w:r w:rsidRPr="005F7A07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D14B3E" w:rsidRPr="009274DD" w:rsidRDefault="00431872" w:rsidP="0043187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31872">
        <w:rPr>
          <w:rFonts w:ascii="Times New Roman" w:hAnsi="Times New Roman" w:cs="Times New Roman"/>
          <w:i/>
          <w:sz w:val="24"/>
          <w:szCs w:val="24"/>
          <w:lang w:val="uk-UA"/>
        </w:rPr>
        <w:t xml:space="preserve">S. A. </w:t>
      </w:r>
      <w:proofErr w:type="spellStart"/>
      <w:r w:rsidRPr="00431872">
        <w:rPr>
          <w:rFonts w:ascii="Times New Roman" w:hAnsi="Times New Roman" w:cs="Times New Roman"/>
          <w:i/>
          <w:sz w:val="24"/>
          <w:szCs w:val="24"/>
          <w:lang w:val="uk-UA"/>
        </w:rPr>
        <w:t>Karhova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31872">
        <w:rPr>
          <w:rFonts w:ascii="Times New Roman" w:hAnsi="Times New Roman" w:cs="Times New Roman"/>
          <w:i/>
          <w:sz w:val="24"/>
          <w:szCs w:val="24"/>
        </w:rPr>
        <w:t>From 5PL providers to Zero-level logistics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1678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Государственный вестник, 2019, </w:t>
      </w:r>
      <w:r w:rsidR="00216788">
        <w:rPr>
          <w:rFonts w:ascii="Times New Roman" w:hAnsi="Times New Roman" w:cs="Times New Roman"/>
          <w:i/>
          <w:sz w:val="24"/>
          <w:szCs w:val="24"/>
        </w:rPr>
        <w:t>no</w:t>
      </w:r>
      <w:r w:rsidR="00216788" w:rsidRPr="00216788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1, </w:t>
      </w:r>
      <w:r w:rsidR="00216788">
        <w:rPr>
          <w:rFonts w:ascii="Times New Roman" w:hAnsi="Times New Roman" w:cs="Times New Roman"/>
          <w:i/>
          <w:sz w:val="24"/>
          <w:szCs w:val="24"/>
        </w:rPr>
        <w:t>pp</w:t>
      </w:r>
      <w:r w:rsidR="00216788" w:rsidRPr="00216788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21. </w:t>
      </w:r>
      <w:r w:rsidR="00216788" w:rsidRPr="005F7A07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="00216788" w:rsidRPr="005F7A07">
        <w:rPr>
          <w:rFonts w:ascii="Times New Roman" w:hAnsi="Times New Roman" w:cs="Times New Roman"/>
          <w:i/>
          <w:sz w:val="24"/>
          <w:szCs w:val="24"/>
          <w:lang w:val="uk-UA"/>
        </w:rPr>
        <w:t>In</w:t>
      </w:r>
      <w:proofErr w:type="spellEnd"/>
      <w:r w:rsidR="00216788" w:rsidRPr="005F7A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216788" w:rsidRPr="005F7A07">
        <w:rPr>
          <w:rFonts w:ascii="Times New Roman" w:hAnsi="Times New Roman" w:cs="Times New Roman"/>
          <w:i/>
          <w:sz w:val="24"/>
          <w:szCs w:val="24"/>
          <w:lang w:val="uk-UA"/>
        </w:rPr>
        <w:t>Russ</w:t>
      </w:r>
      <w:proofErr w:type="spellEnd"/>
      <w:r w:rsidR="00216788" w:rsidRPr="005F7A07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E82728" w:rsidRPr="00E82728" w:rsidRDefault="00E82728" w:rsidP="00E827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E82728">
        <w:rPr>
          <w:rFonts w:ascii="Times New Roman" w:hAnsi="Times New Roman" w:cs="Times New Roman"/>
          <w:i/>
          <w:sz w:val="24"/>
          <w:szCs w:val="24"/>
        </w:rPr>
        <w:t>Skakalina</w:t>
      </w:r>
      <w:proofErr w:type="spellEnd"/>
      <w:r w:rsidRPr="00E82728">
        <w:rPr>
          <w:rFonts w:ascii="Times New Roman" w:hAnsi="Times New Roman" w:cs="Times New Roman"/>
          <w:i/>
          <w:sz w:val="24"/>
          <w:szCs w:val="24"/>
        </w:rPr>
        <w:t>, E. (2019</w:t>
      </w:r>
      <w:proofErr w:type="gramStart"/>
      <w:r w:rsidRPr="00E82728">
        <w:rPr>
          <w:rFonts w:ascii="Times New Roman" w:hAnsi="Times New Roman" w:cs="Times New Roman"/>
          <w:i/>
          <w:sz w:val="24"/>
          <w:szCs w:val="24"/>
        </w:rPr>
        <w:t>),  “</w:t>
      </w:r>
      <w:proofErr w:type="gramEnd"/>
      <w:r w:rsidRPr="00E82728">
        <w:rPr>
          <w:rFonts w:ascii="Times New Roman" w:hAnsi="Times New Roman" w:cs="Times New Roman"/>
          <w:i/>
          <w:sz w:val="24"/>
          <w:szCs w:val="24"/>
        </w:rPr>
        <w:t>Optimization model of logistic processes in business entities” in</w:t>
      </w:r>
      <w:r w:rsidRPr="00E8272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E82728">
        <w:rPr>
          <w:rFonts w:ascii="Times New Roman" w:hAnsi="Times New Roman" w:cs="Times New Roman"/>
          <w:i/>
          <w:sz w:val="24"/>
          <w:szCs w:val="24"/>
        </w:rPr>
        <w:t>Bezpartochnyi</w:t>
      </w:r>
      <w:proofErr w:type="spellEnd"/>
      <w:r w:rsidRPr="00E82728">
        <w:rPr>
          <w:rFonts w:ascii="Times New Roman" w:hAnsi="Times New Roman" w:cs="Times New Roman"/>
          <w:i/>
          <w:sz w:val="24"/>
          <w:szCs w:val="24"/>
        </w:rPr>
        <w:t xml:space="preserve">, M. &amp; </w:t>
      </w:r>
      <w:proofErr w:type="spellStart"/>
      <w:r w:rsidRPr="00E82728">
        <w:rPr>
          <w:rFonts w:ascii="Times New Roman" w:hAnsi="Times New Roman" w:cs="Times New Roman"/>
          <w:i/>
          <w:sz w:val="24"/>
          <w:szCs w:val="24"/>
        </w:rPr>
        <w:t>Britchenko</w:t>
      </w:r>
      <w:proofErr w:type="spellEnd"/>
      <w:r w:rsidRPr="00E82728">
        <w:rPr>
          <w:rFonts w:ascii="Times New Roman" w:hAnsi="Times New Roman" w:cs="Times New Roman"/>
          <w:i/>
          <w:sz w:val="24"/>
          <w:szCs w:val="24"/>
        </w:rPr>
        <w:t xml:space="preserve"> I.</w:t>
      </w:r>
      <w:r w:rsidRPr="00E82728">
        <w:rPr>
          <w:rFonts w:cs="Times New Roman"/>
          <w:i/>
          <w:sz w:val="24"/>
          <w:szCs w:val="24"/>
        </w:rPr>
        <w:t xml:space="preserve"> </w:t>
      </w:r>
      <w:r w:rsidRPr="00E827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2728">
        <w:rPr>
          <w:rFonts w:ascii="Times New Roman" w:hAnsi="Times New Roman" w:cs="Times New Roman"/>
          <w:i/>
          <w:sz w:val="24"/>
          <w:szCs w:val="24"/>
        </w:rPr>
        <w:t>(Ed.</w:t>
      </w:r>
      <w:proofErr w:type="gramStart"/>
      <w:r w:rsidRPr="00E82728">
        <w:rPr>
          <w:rFonts w:ascii="Times New Roman" w:hAnsi="Times New Roman" w:cs="Times New Roman"/>
          <w:i/>
          <w:sz w:val="24"/>
          <w:szCs w:val="24"/>
        </w:rPr>
        <w:t>),  Conceptual</w:t>
      </w:r>
      <w:proofErr w:type="gramEnd"/>
      <w:r w:rsidRPr="00E82728">
        <w:rPr>
          <w:rFonts w:ascii="Times New Roman" w:hAnsi="Times New Roman" w:cs="Times New Roman"/>
          <w:i/>
          <w:sz w:val="24"/>
          <w:szCs w:val="24"/>
        </w:rPr>
        <w:t xml:space="preserve"> aspects management of competitiveness the economic entities, Higher School of Social and Economic in </w:t>
      </w:r>
      <w:proofErr w:type="spellStart"/>
      <w:r w:rsidRPr="00E82728">
        <w:rPr>
          <w:rFonts w:ascii="Times New Roman" w:hAnsi="Times New Roman" w:cs="Times New Roman"/>
          <w:i/>
          <w:sz w:val="24"/>
          <w:szCs w:val="24"/>
        </w:rPr>
        <w:t>Przeworsk</w:t>
      </w:r>
      <w:proofErr w:type="spellEnd"/>
      <w:r w:rsidRPr="00E82728">
        <w:rPr>
          <w:rFonts w:ascii="Times New Roman" w:hAnsi="Times New Roman" w:cs="Times New Roman"/>
          <w:i/>
          <w:sz w:val="24"/>
          <w:szCs w:val="24"/>
        </w:rPr>
        <w:t>, Poland, pp. 240-249.</w:t>
      </w:r>
    </w:p>
    <w:p w:rsidR="00D14B3E" w:rsidRPr="00431872" w:rsidRDefault="00D14B3E" w:rsidP="00E8272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sectPr w:rsidR="00D14B3E" w:rsidRPr="00431872" w:rsidSect="00EA3B4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F97"/>
    <w:multiLevelType w:val="hybridMultilevel"/>
    <w:tmpl w:val="DDEC4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6C8C"/>
    <w:multiLevelType w:val="multilevel"/>
    <w:tmpl w:val="EA68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F0DCE"/>
    <w:multiLevelType w:val="hybridMultilevel"/>
    <w:tmpl w:val="CB2AC76C"/>
    <w:lvl w:ilvl="0" w:tplc="6BC8687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EA6727"/>
    <w:multiLevelType w:val="hybridMultilevel"/>
    <w:tmpl w:val="FA88DD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63E5F"/>
    <w:multiLevelType w:val="hybridMultilevel"/>
    <w:tmpl w:val="17E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A3D1F"/>
    <w:multiLevelType w:val="hybridMultilevel"/>
    <w:tmpl w:val="1688C4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97"/>
    <w:rsid w:val="000708D9"/>
    <w:rsid w:val="00080898"/>
    <w:rsid w:val="0010577E"/>
    <w:rsid w:val="001115A3"/>
    <w:rsid w:val="00175228"/>
    <w:rsid w:val="001A42A2"/>
    <w:rsid w:val="00216788"/>
    <w:rsid w:val="002312E5"/>
    <w:rsid w:val="00240C5F"/>
    <w:rsid w:val="00273504"/>
    <w:rsid w:val="00281633"/>
    <w:rsid w:val="0029504E"/>
    <w:rsid w:val="002B7927"/>
    <w:rsid w:val="002D1748"/>
    <w:rsid w:val="002E50E2"/>
    <w:rsid w:val="002E7D3E"/>
    <w:rsid w:val="00311AA0"/>
    <w:rsid w:val="003201A3"/>
    <w:rsid w:val="00392406"/>
    <w:rsid w:val="00431872"/>
    <w:rsid w:val="00450656"/>
    <w:rsid w:val="004F1F39"/>
    <w:rsid w:val="00522865"/>
    <w:rsid w:val="00543681"/>
    <w:rsid w:val="00557346"/>
    <w:rsid w:val="00560AA8"/>
    <w:rsid w:val="005900F5"/>
    <w:rsid w:val="005F7A07"/>
    <w:rsid w:val="006672DE"/>
    <w:rsid w:val="006A03CA"/>
    <w:rsid w:val="006B5D54"/>
    <w:rsid w:val="006C1985"/>
    <w:rsid w:val="006C7085"/>
    <w:rsid w:val="007017B9"/>
    <w:rsid w:val="00721B5A"/>
    <w:rsid w:val="007404D3"/>
    <w:rsid w:val="008319A9"/>
    <w:rsid w:val="00872A3A"/>
    <w:rsid w:val="00894462"/>
    <w:rsid w:val="008B2F3D"/>
    <w:rsid w:val="008C4863"/>
    <w:rsid w:val="008F73DD"/>
    <w:rsid w:val="009263D6"/>
    <w:rsid w:val="00927077"/>
    <w:rsid w:val="009274DD"/>
    <w:rsid w:val="00956377"/>
    <w:rsid w:val="00964F2C"/>
    <w:rsid w:val="009E1186"/>
    <w:rsid w:val="009F1C73"/>
    <w:rsid w:val="00A037EC"/>
    <w:rsid w:val="00A2089B"/>
    <w:rsid w:val="00A3077A"/>
    <w:rsid w:val="00A34451"/>
    <w:rsid w:val="00A41429"/>
    <w:rsid w:val="00AB4B9A"/>
    <w:rsid w:val="00AE560E"/>
    <w:rsid w:val="00AF505C"/>
    <w:rsid w:val="00B208EB"/>
    <w:rsid w:val="00B56A97"/>
    <w:rsid w:val="00BB3E90"/>
    <w:rsid w:val="00C67219"/>
    <w:rsid w:val="00C720A6"/>
    <w:rsid w:val="00C8438E"/>
    <w:rsid w:val="00C85DDF"/>
    <w:rsid w:val="00CB6CC4"/>
    <w:rsid w:val="00CC5EFF"/>
    <w:rsid w:val="00CE6172"/>
    <w:rsid w:val="00CF6704"/>
    <w:rsid w:val="00CF776F"/>
    <w:rsid w:val="00D14B3E"/>
    <w:rsid w:val="00D30C24"/>
    <w:rsid w:val="00DB1C9F"/>
    <w:rsid w:val="00DC4A5C"/>
    <w:rsid w:val="00DC593C"/>
    <w:rsid w:val="00DF6C45"/>
    <w:rsid w:val="00E03163"/>
    <w:rsid w:val="00E1445B"/>
    <w:rsid w:val="00E82728"/>
    <w:rsid w:val="00EA3B48"/>
    <w:rsid w:val="00F11E48"/>
    <w:rsid w:val="00F13F58"/>
    <w:rsid w:val="00F240C9"/>
    <w:rsid w:val="00F64CE3"/>
    <w:rsid w:val="00FC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29728-2873-4495-A85A-A0DA1E8D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3F58"/>
    <w:pPr>
      <w:keepNext/>
      <w:spacing w:after="0" w:line="240" w:lineRule="auto"/>
      <w:outlineLvl w:val="0"/>
    </w:pPr>
    <w:rPr>
      <w:rFonts w:ascii="Times New Roman" w:eastAsia="Batang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4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F73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F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13F58"/>
    <w:rPr>
      <w:rFonts w:ascii="Times New Roman" w:eastAsia="Batang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B1E1F5-7673-4400-8EB5-C154BF2F614A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B31C4CAB-5730-4E47-8C3E-9EFFC8707808}">
      <dgm:prSet phldrT="[Текст]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lt1"/>
          </a:fontRef>
        </dgm:style>
      </dgm:prSet>
      <dgm:spPr>
        <a:gradFill flip="none" rotWithShape="1">
          <a:gsLst>
            <a:gs pos="0">
              <a:schemeClr val="dk1">
                <a:lumMod val="67000"/>
              </a:schemeClr>
            </a:gs>
            <a:gs pos="48000">
              <a:schemeClr val="dk1">
                <a:lumMod val="97000"/>
                <a:lumOff val="3000"/>
              </a:schemeClr>
            </a:gs>
            <a:gs pos="100000">
              <a:schemeClr val="dk1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</dgm:spPr>
      <dgm:t>
        <a:bodyPr/>
        <a:lstStyle/>
        <a:p>
          <a:pPr algn="ctr"/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Збір вхідної інформації </a:t>
          </a:r>
          <a:endParaRPr lang="ru-RU" b="1"/>
        </a:p>
      </dgm:t>
    </dgm:pt>
    <dgm:pt modelId="{BA382EA8-8EC2-4171-8224-279D512DE873}" type="parTrans" cxnId="{ABC26D81-10D4-4555-8E78-57B4EBA4EFF1}">
      <dgm:prSet/>
      <dgm:spPr/>
      <dgm:t>
        <a:bodyPr/>
        <a:lstStyle/>
        <a:p>
          <a:pPr algn="ctr"/>
          <a:endParaRPr lang="ru-RU"/>
        </a:p>
      </dgm:t>
    </dgm:pt>
    <dgm:pt modelId="{CFBB6139-6A62-470E-95C2-33CDE841E5A3}" type="sibTrans" cxnId="{ABC26D81-10D4-4555-8E78-57B4EBA4EFF1}">
      <dgm:prSet/>
      <dgm:spPr/>
      <dgm:t>
        <a:bodyPr/>
        <a:lstStyle/>
        <a:p>
          <a:pPr algn="ctr"/>
          <a:endParaRPr lang="ru-RU"/>
        </a:p>
      </dgm:t>
    </dgm:pt>
    <dgm:pt modelId="{DECE6A7B-3EA9-4F61-A94E-DA03C5D8F182}">
      <dgm:prSet phldrT="[Текст]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lt1"/>
          </a:fontRef>
        </dgm:style>
      </dgm:prSet>
      <dgm:spPr>
        <a:gradFill flip="none" rotWithShape="1">
          <a:gsLst>
            <a:gs pos="0">
              <a:schemeClr val="dk1">
                <a:lumMod val="67000"/>
              </a:schemeClr>
            </a:gs>
            <a:gs pos="48000">
              <a:schemeClr val="dk1">
                <a:lumMod val="97000"/>
                <a:lumOff val="3000"/>
              </a:schemeClr>
            </a:gs>
            <a:gs pos="100000">
              <a:schemeClr val="dk1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</dgm:spPr>
      <dgm:t>
        <a:bodyPr/>
        <a:lstStyle/>
        <a:p>
          <a:pPr algn="ctr"/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створення оптимального плана засобами УП </a:t>
          </a:r>
        </a:p>
      </dgm:t>
    </dgm:pt>
    <dgm:pt modelId="{A949FCCE-4E36-4523-A98A-C03BF2E3AFA2}" type="parTrans" cxnId="{0E625FD4-2E51-4AF1-B39E-6036DCA9F145}">
      <dgm:prSet/>
      <dgm:spPr/>
      <dgm:t>
        <a:bodyPr/>
        <a:lstStyle/>
        <a:p>
          <a:pPr algn="ctr"/>
          <a:endParaRPr lang="ru-RU"/>
        </a:p>
      </dgm:t>
    </dgm:pt>
    <dgm:pt modelId="{1C32A913-7AA7-4754-9E75-9E9BCBEFCA63}" type="sibTrans" cxnId="{0E625FD4-2E51-4AF1-B39E-6036DCA9F145}">
      <dgm:prSet/>
      <dgm:spPr/>
      <dgm:t>
        <a:bodyPr/>
        <a:lstStyle/>
        <a:p>
          <a:pPr algn="ctr"/>
          <a:endParaRPr lang="ru-RU"/>
        </a:p>
      </dgm:t>
    </dgm:pt>
    <dgm:pt modelId="{890A65FB-36F1-4158-AEA9-F57DF3B4B834}">
      <dgm:prSet phldrT="[Текст]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lt1"/>
          </a:fontRef>
        </dgm:style>
      </dgm:prSet>
      <dgm:spPr>
        <a:gradFill flip="none" rotWithShape="1">
          <a:gsLst>
            <a:gs pos="0">
              <a:schemeClr val="dk1">
                <a:lumMod val="67000"/>
              </a:schemeClr>
            </a:gs>
            <a:gs pos="48000">
              <a:schemeClr val="dk1">
                <a:lumMod val="97000"/>
                <a:lumOff val="3000"/>
              </a:schemeClr>
            </a:gs>
            <a:gs pos="100000">
              <a:schemeClr val="dk1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</dgm:spPr>
      <dgm:t>
        <a:bodyPr/>
        <a:lstStyle/>
        <a:p>
          <a:pPr algn="ctr"/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оптимізація базового плану сезонних перевезень за допомогою ГА</a:t>
          </a:r>
        </a:p>
      </dgm:t>
    </dgm:pt>
    <dgm:pt modelId="{BF306861-9E95-4808-8458-A57779D7563B}" type="parTrans" cxnId="{770C0461-D628-4D16-9C7F-1D8496A785F0}">
      <dgm:prSet/>
      <dgm:spPr/>
      <dgm:t>
        <a:bodyPr/>
        <a:lstStyle/>
        <a:p>
          <a:pPr algn="ctr"/>
          <a:endParaRPr lang="ru-RU"/>
        </a:p>
      </dgm:t>
    </dgm:pt>
    <dgm:pt modelId="{82ABE69E-8C4F-43ED-87BF-F92A40859A15}" type="sibTrans" cxnId="{770C0461-D628-4D16-9C7F-1D8496A785F0}">
      <dgm:prSet/>
      <dgm:spPr/>
      <dgm:t>
        <a:bodyPr/>
        <a:lstStyle/>
        <a:p>
          <a:pPr algn="ctr"/>
          <a:endParaRPr lang="ru-RU"/>
        </a:p>
      </dgm:t>
    </dgm:pt>
    <dgm:pt modelId="{EAE08484-0E63-4864-8787-4F85854D7FB3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lt1"/>
          </a:fontRef>
        </dgm:style>
      </dgm:prSet>
      <dgm:spPr>
        <a:gradFill flip="none" rotWithShape="1">
          <a:gsLst>
            <a:gs pos="0">
              <a:schemeClr val="dk1">
                <a:lumMod val="67000"/>
              </a:schemeClr>
            </a:gs>
            <a:gs pos="48000">
              <a:schemeClr val="dk1">
                <a:lumMod val="97000"/>
                <a:lumOff val="3000"/>
              </a:schemeClr>
            </a:gs>
            <a:gs pos="100000">
              <a:schemeClr val="dk1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</dgm:spPr>
      <dgm:t>
        <a:bodyPr/>
        <a:lstStyle/>
        <a:p>
          <a:pPr algn="ctr"/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оперативна реалізація  оптимального плану сезонних перевезень в умовах АХ</a:t>
          </a:r>
        </a:p>
      </dgm:t>
    </dgm:pt>
    <dgm:pt modelId="{F4219E97-4C0F-4D6C-A906-B0C056BFA441}" type="parTrans" cxnId="{70A472EF-46C9-40A4-9519-9969243E4D87}">
      <dgm:prSet/>
      <dgm:spPr/>
      <dgm:t>
        <a:bodyPr/>
        <a:lstStyle/>
        <a:p>
          <a:pPr algn="ctr"/>
          <a:endParaRPr lang="ru-RU"/>
        </a:p>
      </dgm:t>
    </dgm:pt>
    <dgm:pt modelId="{C965D534-9E4F-452C-BD01-A0EC50F05B41}" type="sibTrans" cxnId="{70A472EF-46C9-40A4-9519-9969243E4D87}">
      <dgm:prSet/>
      <dgm:spPr/>
      <dgm:t>
        <a:bodyPr/>
        <a:lstStyle/>
        <a:p>
          <a:pPr algn="ctr"/>
          <a:endParaRPr lang="ru-RU"/>
        </a:p>
      </dgm:t>
    </dgm:pt>
    <dgm:pt modelId="{3F7EC41E-A8B4-484C-99EF-E746205E7158}" type="pres">
      <dgm:prSet presAssocID="{81B1E1F5-7673-4400-8EB5-C154BF2F614A}" presName="CompostProcess" presStyleCnt="0">
        <dgm:presLayoutVars>
          <dgm:dir/>
          <dgm:resizeHandles val="exact"/>
        </dgm:presLayoutVars>
      </dgm:prSet>
      <dgm:spPr/>
    </dgm:pt>
    <dgm:pt modelId="{CA3D120E-DC06-4B27-8F82-A9B9FE903778}" type="pres">
      <dgm:prSet presAssocID="{81B1E1F5-7673-4400-8EB5-C154BF2F614A}" presName="arrow" presStyleLbl="bgShp" presStyleIdx="0" presStyleCn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</dgm:pt>
    <dgm:pt modelId="{5BA3766F-6722-40C2-A659-86495E0DF167}" type="pres">
      <dgm:prSet presAssocID="{81B1E1F5-7673-4400-8EB5-C154BF2F614A}" presName="linearProcess" presStyleCnt="0"/>
      <dgm:spPr/>
    </dgm:pt>
    <dgm:pt modelId="{78F1F4D5-53F0-4846-A444-81AE146D76EB}" type="pres">
      <dgm:prSet presAssocID="{B31C4CAB-5730-4E47-8C3E-9EFFC8707808}" presName="text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A7A522-DD7D-4E31-A6C5-3A7EFA35CCDF}" type="pres">
      <dgm:prSet presAssocID="{CFBB6139-6A62-470E-95C2-33CDE841E5A3}" presName="sibTrans" presStyleCnt="0"/>
      <dgm:spPr/>
    </dgm:pt>
    <dgm:pt modelId="{CC52ABD1-8963-4933-B166-00433FCE479A}" type="pres">
      <dgm:prSet presAssocID="{DECE6A7B-3EA9-4F61-A94E-DA03C5D8F182}" presName="text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05B302-1FC9-46BF-BD26-729B8868FA61}" type="pres">
      <dgm:prSet presAssocID="{1C32A913-7AA7-4754-9E75-9E9BCBEFCA63}" presName="sibTrans" presStyleCnt="0"/>
      <dgm:spPr/>
    </dgm:pt>
    <dgm:pt modelId="{E0984631-8A92-4F7E-9508-3CEFD1B1C3F6}" type="pres">
      <dgm:prSet presAssocID="{890A65FB-36F1-4158-AEA9-F57DF3B4B834}" presName="text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C62DED-FFCF-4F42-AC57-3301DBD05B7D}" type="pres">
      <dgm:prSet presAssocID="{82ABE69E-8C4F-43ED-87BF-F92A40859A15}" presName="sibTrans" presStyleCnt="0"/>
      <dgm:spPr/>
    </dgm:pt>
    <dgm:pt modelId="{8B028F13-0FCE-4FEE-924D-BB091BCA088D}" type="pres">
      <dgm:prSet presAssocID="{EAE08484-0E63-4864-8787-4F85854D7FB3}" presName="text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E625FD4-2E51-4AF1-B39E-6036DCA9F145}" srcId="{81B1E1F5-7673-4400-8EB5-C154BF2F614A}" destId="{DECE6A7B-3EA9-4F61-A94E-DA03C5D8F182}" srcOrd="1" destOrd="0" parTransId="{A949FCCE-4E36-4523-A98A-C03BF2E3AFA2}" sibTransId="{1C32A913-7AA7-4754-9E75-9E9BCBEFCA63}"/>
    <dgm:cxn modelId="{770C0461-D628-4D16-9C7F-1D8496A785F0}" srcId="{81B1E1F5-7673-4400-8EB5-C154BF2F614A}" destId="{890A65FB-36F1-4158-AEA9-F57DF3B4B834}" srcOrd="2" destOrd="0" parTransId="{BF306861-9E95-4808-8458-A57779D7563B}" sibTransId="{82ABE69E-8C4F-43ED-87BF-F92A40859A15}"/>
    <dgm:cxn modelId="{ABC26D81-10D4-4555-8E78-57B4EBA4EFF1}" srcId="{81B1E1F5-7673-4400-8EB5-C154BF2F614A}" destId="{B31C4CAB-5730-4E47-8C3E-9EFFC8707808}" srcOrd="0" destOrd="0" parTransId="{BA382EA8-8EC2-4171-8224-279D512DE873}" sibTransId="{CFBB6139-6A62-470E-95C2-33CDE841E5A3}"/>
    <dgm:cxn modelId="{A9285B5D-C8D1-4EC8-9344-AC95229021DC}" type="presOf" srcId="{81B1E1F5-7673-4400-8EB5-C154BF2F614A}" destId="{3F7EC41E-A8B4-484C-99EF-E746205E7158}" srcOrd="0" destOrd="0" presId="urn:microsoft.com/office/officeart/2005/8/layout/hProcess9"/>
    <dgm:cxn modelId="{EE58DDA1-32A2-4372-B7B7-629C8988369E}" type="presOf" srcId="{EAE08484-0E63-4864-8787-4F85854D7FB3}" destId="{8B028F13-0FCE-4FEE-924D-BB091BCA088D}" srcOrd="0" destOrd="0" presId="urn:microsoft.com/office/officeart/2005/8/layout/hProcess9"/>
    <dgm:cxn modelId="{7E9A8751-D059-4CE0-98BC-03623AE45FCE}" type="presOf" srcId="{890A65FB-36F1-4158-AEA9-F57DF3B4B834}" destId="{E0984631-8A92-4F7E-9508-3CEFD1B1C3F6}" srcOrd="0" destOrd="0" presId="urn:microsoft.com/office/officeart/2005/8/layout/hProcess9"/>
    <dgm:cxn modelId="{70A472EF-46C9-40A4-9519-9969243E4D87}" srcId="{81B1E1F5-7673-4400-8EB5-C154BF2F614A}" destId="{EAE08484-0E63-4864-8787-4F85854D7FB3}" srcOrd="3" destOrd="0" parTransId="{F4219E97-4C0F-4D6C-A906-B0C056BFA441}" sibTransId="{C965D534-9E4F-452C-BD01-A0EC50F05B41}"/>
    <dgm:cxn modelId="{F2B9EBC2-ED1B-4B70-AB53-3C1B0CCB0B36}" type="presOf" srcId="{B31C4CAB-5730-4E47-8C3E-9EFFC8707808}" destId="{78F1F4D5-53F0-4846-A444-81AE146D76EB}" srcOrd="0" destOrd="0" presId="urn:microsoft.com/office/officeart/2005/8/layout/hProcess9"/>
    <dgm:cxn modelId="{4C515362-8A27-416F-A970-7221DBDC017C}" type="presOf" srcId="{DECE6A7B-3EA9-4F61-A94E-DA03C5D8F182}" destId="{CC52ABD1-8963-4933-B166-00433FCE479A}" srcOrd="0" destOrd="0" presId="urn:microsoft.com/office/officeart/2005/8/layout/hProcess9"/>
    <dgm:cxn modelId="{71B6544C-2265-4159-BCBE-5F4D58870FDD}" type="presParOf" srcId="{3F7EC41E-A8B4-484C-99EF-E746205E7158}" destId="{CA3D120E-DC06-4B27-8F82-A9B9FE903778}" srcOrd="0" destOrd="0" presId="urn:microsoft.com/office/officeart/2005/8/layout/hProcess9"/>
    <dgm:cxn modelId="{E21BDA3D-199E-40F4-B0F1-5570DB93A37E}" type="presParOf" srcId="{3F7EC41E-A8B4-484C-99EF-E746205E7158}" destId="{5BA3766F-6722-40C2-A659-86495E0DF167}" srcOrd="1" destOrd="0" presId="urn:microsoft.com/office/officeart/2005/8/layout/hProcess9"/>
    <dgm:cxn modelId="{2EC56F7F-A920-43F9-AB85-B7250DDC763C}" type="presParOf" srcId="{5BA3766F-6722-40C2-A659-86495E0DF167}" destId="{78F1F4D5-53F0-4846-A444-81AE146D76EB}" srcOrd="0" destOrd="0" presId="urn:microsoft.com/office/officeart/2005/8/layout/hProcess9"/>
    <dgm:cxn modelId="{1EEAD535-E7E6-46D0-8970-3988E3609A9A}" type="presParOf" srcId="{5BA3766F-6722-40C2-A659-86495E0DF167}" destId="{D2A7A522-DD7D-4E31-A6C5-3A7EFA35CCDF}" srcOrd="1" destOrd="0" presId="urn:microsoft.com/office/officeart/2005/8/layout/hProcess9"/>
    <dgm:cxn modelId="{7D2DF231-382F-44BB-B5D7-7B85C802DD05}" type="presParOf" srcId="{5BA3766F-6722-40C2-A659-86495E0DF167}" destId="{CC52ABD1-8963-4933-B166-00433FCE479A}" srcOrd="2" destOrd="0" presId="urn:microsoft.com/office/officeart/2005/8/layout/hProcess9"/>
    <dgm:cxn modelId="{7D755C33-7370-4584-BB9D-933938AC1E34}" type="presParOf" srcId="{5BA3766F-6722-40C2-A659-86495E0DF167}" destId="{4205B302-1FC9-46BF-BD26-729B8868FA61}" srcOrd="3" destOrd="0" presId="urn:microsoft.com/office/officeart/2005/8/layout/hProcess9"/>
    <dgm:cxn modelId="{EE4237E8-9C82-4710-8808-A090ED8BE928}" type="presParOf" srcId="{5BA3766F-6722-40C2-A659-86495E0DF167}" destId="{E0984631-8A92-4F7E-9508-3CEFD1B1C3F6}" srcOrd="4" destOrd="0" presId="urn:microsoft.com/office/officeart/2005/8/layout/hProcess9"/>
    <dgm:cxn modelId="{FA8731E5-CB3C-4B75-B6C7-F5B5E630C6D7}" type="presParOf" srcId="{5BA3766F-6722-40C2-A659-86495E0DF167}" destId="{36C62DED-FFCF-4F42-AC57-3301DBD05B7D}" srcOrd="5" destOrd="0" presId="urn:microsoft.com/office/officeart/2005/8/layout/hProcess9"/>
    <dgm:cxn modelId="{DC35F1A1-17F2-40CF-9D05-003B5A0565B9}" type="presParOf" srcId="{5BA3766F-6722-40C2-A659-86495E0DF167}" destId="{8B028F13-0FCE-4FEE-924D-BB091BCA088D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3D120E-DC06-4B27-8F82-A9B9FE903778}">
      <dsp:nvSpPr>
        <dsp:cNvPr id="0" name=""/>
        <dsp:cNvSpPr/>
      </dsp:nvSpPr>
      <dsp:spPr>
        <a:xfrm>
          <a:off x="450199" y="0"/>
          <a:ext cx="5102256" cy="1263015"/>
        </a:xfrm>
        <a:prstGeom prst="rightArrow">
          <a:avLst/>
        </a:prstGeom>
        <a:gradFill rotWithShape="1">
          <a:gsLst>
            <a:gs pos="0">
              <a:schemeClr val="dk1">
                <a:lumMod val="110000"/>
                <a:satMod val="105000"/>
                <a:tint val="67000"/>
              </a:schemeClr>
            </a:gs>
            <a:gs pos="50000">
              <a:schemeClr val="dk1">
                <a:lumMod val="105000"/>
                <a:satMod val="103000"/>
                <a:tint val="73000"/>
              </a:schemeClr>
            </a:gs>
            <a:gs pos="100000">
              <a:schemeClr val="dk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</dsp:sp>
    <dsp:sp modelId="{78F1F4D5-53F0-4846-A444-81AE146D76EB}">
      <dsp:nvSpPr>
        <dsp:cNvPr id="0" name=""/>
        <dsp:cNvSpPr/>
      </dsp:nvSpPr>
      <dsp:spPr>
        <a:xfrm>
          <a:off x="3004" y="378904"/>
          <a:ext cx="1444975" cy="505206"/>
        </a:xfrm>
        <a:prstGeom prst="roundRect">
          <a:avLst/>
        </a:prstGeom>
        <a:gradFill flip="none" rotWithShape="1">
          <a:gsLst>
            <a:gs pos="0">
              <a:schemeClr val="dk1">
                <a:lumMod val="67000"/>
              </a:schemeClr>
            </a:gs>
            <a:gs pos="48000">
              <a:schemeClr val="dk1">
                <a:lumMod val="97000"/>
                <a:lumOff val="3000"/>
              </a:schemeClr>
            </a:gs>
            <a:gs pos="100000">
              <a:schemeClr val="dk1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Збір вхідної інформації </a:t>
          </a:r>
          <a:endParaRPr lang="ru-RU" sz="700" b="1" kern="1200"/>
        </a:p>
      </dsp:txBody>
      <dsp:txXfrm>
        <a:off x="27666" y="403566"/>
        <a:ext cx="1395651" cy="455882"/>
      </dsp:txXfrm>
    </dsp:sp>
    <dsp:sp modelId="{CC52ABD1-8963-4933-B166-00433FCE479A}">
      <dsp:nvSpPr>
        <dsp:cNvPr id="0" name=""/>
        <dsp:cNvSpPr/>
      </dsp:nvSpPr>
      <dsp:spPr>
        <a:xfrm>
          <a:off x="1520228" y="378904"/>
          <a:ext cx="1444975" cy="505206"/>
        </a:xfrm>
        <a:prstGeom prst="roundRect">
          <a:avLst/>
        </a:prstGeom>
        <a:gradFill flip="none" rotWithShape="1">
          <a:gsLst>
            <a:gs pos="0">
              <a:schemeClr val="dk1">
                <a:lumMod val="67000"/>
              </a:schemeClr>
            </a:gs>
            <a:gs pos="48000">
              <a:schemeClr val="dk1">
                <a:lumMod val="97000"/>
                <a:lumOff val="3000"/>
              </a:schemeClr>
            </a:gs>
            <a:gs pos="100000">
              <a:schemeClr val="dk1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створення оптимального плана засобами УП </a:t>
          </a:r>
        </a:p>
      </dsp:txBody>
      <dsp:txXfrm>
        <a:off x="1544890" y="403566"/>
        <a:ext cx="1395651" cy="455882"/>
      </dsp:txXfrm>
    </dsp:sp>
    <dsp:sp modelId="{E0984631-8A92-4F7E-9508-3CEFD1B1C3F6}">
      <dsp:nvSpPr>
        <dsp:cNvPr id="0" name=""/>
        <dsp:cNvSpPr/>
      </dsp:nvSpPr>
      <dsp:spPr>
        <a:xfrm>
          <a:off x="3037451" y="378904"/>
          <a:ext cx="1444975" cy="505206"/>
        </a:xfrm>
        <a:prstGeom prst="roundRect">
          <a:avLst/>
        </a:prstGeom>
        <a:gradFill flip="none" rotWithShape="1">
          <a:gsLst>
            <a:gs pos="0">
              <a:schemeClr val="dk1">
                <a:lumMod val="67000"/>
              </a:schemeClr>
            </a:gs>
            <a:gs pos="48000">
              <a:schemeClr val="dk1">
                <a:lumMod val="97000"/>
                <a:lumOff val="3000"/>
              </a:schemeClr>
            </a:gs>
            <a:gs pos="100000">
              <a:schemeClr val="dk1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оптимізація базового плану сезонних перевезень за допомогою ГА</a:t>
          </a:r>
        </a:p>
      </dsp:txBody>
      <dsp:txXfrm>
        <a:off x="3062113" y="403566"/>
        <a:ext cx="1395651" cy="455882"/>
      </dsp:txXfrm>
    </dsp:sp>
    <dsp:sp modelId="{8B028F13-0FCE-4FEE-924D-BB091BCA088D}">
      <dsp:nvSpPr>
        <dsp:cNvPr id="0" name=""/>
        <dsp:cNvSpPr/>
      </dsp:nvSpPr>
      <dsp:spPr>
        <a:xfrm>
          <a:off x="4554675" y="378904"/>
          <a:ext cx="1444975" cy="505206"/>
        </a:xfrm>
        <a:prstGeom prst="roundRect">
          <a:avLst/>
        </a:prstGeom>
        <a:gradFill flip="none" rotWithShape="1">
          <a:gsLst>
            <a:gs pos="0">
              <a:schemeClr val="dk1">
                <a:lumMod val="67000"/>
              </a:schemeClr>
            </a:gs>
            <a:gs pos="48000">
              <a:schemeClr val="dk1">
                <a:lumMod val="97000"/>
                <a:lumOff val="3000"/>
              </a:schemeClr>
            </a:gs>
            <a:gs pos="100000">
              <a:schemeClr val="dk1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оперативна реалізація  оптимального плану сезонних перевезень в умовах АХ</a:t>
          </a:r>
        </a:p>
      </dsp:txBody>
      <dsp:txXfrm>
        <a:off x="4579337" y="403566"/>
        <a:ext cx="1395651" cy="4558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</dc:creator>
  <cp:lastModifiedBy>evs</cp:lastModifiedBy>
  <cp:revision>40</cp:revision>
  <dcterms:created xsi:type="dcterms:W3CDTF">2020-03-06T08:11:00Z</dcterms:created>
  <dcterms:modified xsi:type="dcterms:W3CDTF">2020-03-07T06:49:00Z</dcterms:modified>
</cp:coreProperties>
</file>