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663" w:rsidRDefault="0084715A" w:rsidP="0084715A">
      <w:pPr>
        <w:tabs>
          <w:tab w:val="left" w:pos="9810"/>
        </w:tabs>
        <w:spacing w:before="20" w:after="20"/>
        <w:ind w:right="-170"/>
        <w:rPr>
          <w:lang w:val="uk-UA"/>
        </w:rPr>
      </w:pPr>
      <w:bookmarkStart w:id="0" w:name="_GoBack"/>
      <w:bookmarkEnd w:id="0"/>
      <w:r>
        <w:rPr>
          <w:b/>
          <w:lang w:val="uk-UA"/>
        </w:rPr>
        <w:t>Самойленко С., Рибалко Л.М.</w:t>
      </w:r>
      <w:r>
        <w:rPr>
          <w:lang w:val="uk-UA"/>
        </w:rPr>
        <w:t xml:space="preserve"> Дослідження показників рухової активності в студентів Полтавської політехніки. Наука та освіта в дослідженнях молодих учених [Електронне видання] : матеріали </w:t>
      </w:r>
      <w:proofErr w:type="spellStart"/>
      <w:r>
        <w:rPr>
          <w:lang w:val="uk-UA"/>
        </w:rPr>
        <w:t>Всеукр</w:t>
      </w:r>
      <w:proofErr w:type="spellEnd"/>
      <w:r>
        <w:rPr>
          <w:lang w:val="uk-UA"/>
        </w:rPr>
        <w:t>. наук.-</w:t>
      </w:r>
      <w:proofErr w:type="spellStart"/>
      <w:r>
        <w:rPr>
          <w:lang w:val="uk-UA"/>
        </w:rPr>
        <w:t>практ</w:t>
      </w:r>
      <w:proofErr w:type="spellEnd"/>
      <w:r>
        <w:rPr>
          <w:lang w:val="uk-UA"/>
        </w:rPr>
        <w:t xml:space="preserve">. </w:t>
      </w:r>
      <w:proofErr w:type="spellStart"/>
      <w:r>
        <w:rPr>
          <w:lang w:val="uk-UA"/>
        </w:rPr>
        <w:t>конф</w:t>
      </w:r>
      <w:proofErr w:type="spellEnd"/>
      <w:r>
        <w:rPr>
          <w:lang w:val="uk-UA"/>
        </w:rPr>
        <w:t xml:space="preserve">. для студентів, аспірантів, докторантів, </w:t>
      </w:r>
      <w:proofErr w:type="spellStart"/>
      <w:r>
        <w:rPr>
          <w:lang w:val="uk-UA"/>
        </w:rPr>
        <w:t>молод</w:t>
      </w:r>
      <w:proofErr w:type="spellEnd"/>
      <w:r>
        <w:rPr>
          <w:lang w:val="uk-UA"/>
        </w:rPr>
        <w:t xml:space="preserve">. учених, Харків, 14 трав. 2020 р. / Харків. </w:t>
      </w:r>
      <w:proofErr w:type="spellStart"/>
      <w:r>
        <w:rPr>
          <w:lang w:val="uk-UA"/>
        </w:rPr>
        <w:t>нац</w:t>
      </w:r>
      <w:proofErr w:type="spellEnd"/>
      <w:r>
        <w:rPr>
          <w:lang w:val="uk-UA"/>
        </w:rPr>
        <w:t>. пед. ун-т  ім. Г. С. Сковороди; [</w:t>
      </w:r>
      <w:proofErr w:type="spellStart"/>
      <w:r>
        <w:rPr>
          <w:lang w:val="uk-UA"/>
        </w:rPr>
        <w:t>редкол</w:t>
      </w:r>
      <w:proofErr w:type="spellEnd"/>
      <w:r>
        <w:rPr>
          <w:lang w:val="uk-UA"/>
        </w:rPr>
        <w:t>.: Ю. Д. Бойчук (</w:t>
      </w:r>
      <w:proofErr w:type="spellStart"/>
      <w:r>
        <w:rPr>
          <w:lang w:val="uk-UA"/>
        </w:rPr>
        <w:t>голов</w:t>
      </w:r>
      <w:proofErr w:type="spellEnd"/>
      <w:r>
        <w:rPr>
          <w:lang w:val="uk-UA"/>
        </w:rPr>
        <w:t xml:space="preserve">. </w:t>
      </w:r>
      <w:proofErr w:type="spellStart"/>
      <w:r>
        <w:rPr>
          <w:lang w:val="uk-UA"/>
        </w:rPr>
        <w:t>ред</w:t>
      </w:r>
      <w:proofErr w:type="spellEnd"/>
      <w:r>
        <w:rPr>
          <w:lang w:val="uk-UA"/>
        </w:rPr>
        <w:t>) та ін.]. –  Харків, 2020. – С. 298-300.</w:t>
      </w:r>
    </w:p>
    <w:p w:rsidR="0084715A" w:rsidRDefault="0084715A" w:rsidP="00496663">
      <w:pPr>
        <w:tabs>
          <w:tab w:val="left" w:pos="9810"/>
        </w:tabs>
        <w:spacing w:before="20" w:after="20"/>
        <w:ind w:right="-170"/>
        <w:jc w:val="right"/>
        <w:rPr>
          <w:sz w:val="28"/>
          <w:lang w:val="uk-UA"/>
        </w:rPr>
      </w:pPr>
    </w:p>
    <w:p w:rsidR="00410D38" w:rsidRDefault="00EB51DF" w:rsidP="002D34A3">
      <w:pPr>
        <w:tabs>
          <w:tab w:val="left" w:pos="9810"/>
        </w:tabs>
        <w:spacing w:line="360" w:lineRule="auto"/>
        <w:jc w:val="center"/>
        <w:rPr>
          <w:b/>
          <w:bCs/>
          <w:sz w:val="28"/>
          <w:szCs w:val="28"/>
          <w:lang w:val="uk-UA"/>
        </w:rPr>
      </w:pPr>
      <w:r>
        <w:rPr>
          <w:b/>
          <w:bCs/>
          <w:sz w:val="28"/>
          <w:szCs w:val="28"/>
          <w:lang w:val="uk-UA"/>
        </w:rPr>
        <w:t>ДОСЛІДЖЕННЯ</w:t>
      </w:r>
      <w:r w:rsidR="00410D38">
        <w:rPr>
          <w:b/>
          <w:bCs/>
          <w:sz w:val="28"/>
          <w:szCs w:val="28"/>
          <w:lang w:val="uk-UA"/>
        </w:rPr>
        <w:t xml:space="preserve"> ПОКАЗНИКІВ РУХОВОЇ АКТИВНОСТІ </w:t>
      </w:r>
    </w:p>
    <w:p w:rsidR="00496663" w:rsidRPr="00410D38" w:rsidRDefault="00410D38" w:rsidP="002D34A3">
      <w:pPr>
        <w:tabs>
          <w:tab w:val="left" w:pos="9810"/>
        </w:tabs>
        <w:spacing w:line="360" w:lineRule="auto"/>
        <w:jc w:val="center"/>
        <w:rPr>
          <w:b/>
          <w:bCs/>
          <w:sz w:val="28"/>
          <w:szCs w:val="28"/>
          <w:lang w:val="uk-UA"/>
        </w:rPr>
      </w:pPr>
      <w:r>
        <w:rPr>
          <w:b/>
          <w:bCs/>
          <w:sz w:val="28"/>
          <w:szCs w:val="28"/>
          <w:lang w:val="uk-UA"/>
        </w:rPr>
        <w:t>В СТУДЕНТІВ ПОЛТАВСЬКОЇ ПОЛІТЕХНІКИ</w:t>
      </w:r>
    </w:p>
    <w:p w:rsidR="00087894" w:rsidRPr="0084715A" w:rsidRDefault="00410D38" w:rsidP="002D34A3">
      <w:pPr>
        <w:tabs>
          <w:tab w:val="left" w:pos="9639"/>
        </w:tabs>
        <w:spacing w:line="360" w:lineRule="auto"/>
        <w:jc w:val="center"/>
        <w:rPr>
          <w:b/>
          <w:iCs/>
          <w:sz w:val="28"/>
          <w:szCs w:val="28"/>
        </w:rPr>
      </w:pPr>
      <w:r>
        <w:rPr>
          <w:b/>
          <w:iCs/>
          <w:sz w:val="28"/>
          <w:szCs w:val="28"/>
          <w:lang w:val="uk-UA"/>
        </w:rPr>
        <w:t>Самойленко</w:t>
      </w:r>
      <w:r w:rsidR="00087894" w:rsidRPr="00087894">
        <w:rPr>
          <w:b/>
          <w:iCs/>
          <w:sz w:val="28"/>
          <w:szCs w:val="28"/>
          <w:lang w:val="uk-UA"/>
        </w:rPr>
        <w:t xml:space="preserve"> </w:t>
      </w:r>
      <w:r>
        <w:rPr>
          <w:b/>
          <w:iCs/>
          <w:sz w:val="28"/>
          <w:szCs w:val="28"/>
          <w:lang w:val="uk-UA"/>
        </w:rPr>
        <w:t>С.І</w:t>
      </w:r>
      <w:r w:rsidR="00087894" w:rsidRPr="00087894">
        <w:rPr>
          <w:b/>
          <w:iCs/>
          <w:sz w:val="28"/>
          <w:szCs w:val="28"/>
          <w:lang w:val="uk-UA"/>
        </w:rPr>
        <w:t>.,</w:t>
      </w:r>
    </w:p>
    <w:p w:rsidR="00087894" w:rsidRPr="00087894" w:rsidRDefault="00087894" w:rsidP="002D34A3">
      <w:pPr>
        <w:tabs>
          <w:tab w:val="left" w:pos="9639"/>
        </w:tabs>
        <w:spacing w:line="360" w:lineRule="auto"/>
        <w:jc w:val="center"/>
        <w:rPr>
          <w:sz w:val="28"/>
          <w:szCs w:val="28"/>
          <w:lang w:val="uk-UA"/>
        </w:rPr>
      </w:pPr>
      <w:r w:rsidRPr="00087894">
        <w:rPr>
          <w:iCs/>
          <w:sz w:val="28"/>
          <w:szCs w:val="28"/>
          <w:lang w:val="uk-UA"/>
        </w:rPr>
        <w:t xml:space="preserve">студент </w:t>
      </w:r>
      <w:r w:rsidR="00410D38">
        <w:rPr>
          <w:iCs/>
          <w:sz w:val="28"/>
          <w:szCs w:val="28"/>
          <w:lang w:val="uk-UA"/>
        </w:rPr>
        <w:t>1</w:t>
      </w:r>
      <w:r w:rsidRPr="00087894">
        <w:rPr>
          <w:iCs/>
          <w:sz w:val="28"/>
          <w:szCs w:val="28"/>
          <w:lang w:val="uk-UA"/>
        </w:rPr>
        <w:t xml:space="preserve"> курсу факультету фізичної культури та спорту</w:t>
      </w:r>
      <w:r w:rsidR="002D34A3">
        <w:rPr>
          <w:iCs/>
          <w:sz w:val="28"/>
          <w:szCs w:val="28"/>
          <w:lang w:val="uk-UA"/>
        </w:rPr>
        <w:t>,</w:t>
      </w:r>
    </w:p>
    <w:p w:rsidR="00087894" w:rsidRPr="00087894" w:rsidRDefault="00087894" w:rsidP="002D34A3">
      <w:pPr>
        <w:tabs>
          <w:tab w:val="left" w:pos="9639"/>
        </w:tabs>
        <w:spacing w:line="360" w:lineRule="auto"/>
        <w:jc w:val="center"/>
        <w:rPr>
          <w:sz w:val="28"/>
          <w:szCs w:val="28"/>
          <w:lang w:val="uk-UA"/>
        </w:rPr>
      </w:pPr>
      <w:r w:rsidRPr="00087894">
        <w:rPr>
          <w:iCs/>
          <w:sz w:val="28"/>
          <w:szCs w:val="28"/>
          <w:lang w:val="uk-UA"/>
        </w:rPr>
        <w:t xml:space="preserve">Наук. керівник: </w:t>
      </w:r>
      <w:proofErr w:type="spellStart"/>
      <w:r w:rsidRPr="00087894">
        <w:rPr>
          <w:iCs/>
          <w:sz w:val="28"/>
          <w:szCs w:val="28"/>
          <w:lang w:val="uk-UA"/>
        </w:rPr>
        <w:t>д.пед.н</w:t>
      </w:r>
      <w:proofErr w:type="spellEnd"/>
      <w:r w:rsidRPr="00087894">
        <w:rPr>
          <w:iCs/>
          <w:sz w:val="28"/>
          <w:szCs w:val="28"/>
          <w:lang w:val="uk-UA"/>
        </w:rPr>
        <w:t xml:space="preserve">., </w:t>
      </w:r>
      <w:proofErr w:type="spellStart"/>
      <w:r w:rsidRPr="00087894">
        <w:rPr>
          <w:iCs/>
          <w:sz w:val="28"/>
          <w:szCs w:val="28"/>
          <w:lang w:val="uk-UA"/>
        </w:rPr>
        <w:t>ст.наук.сп</w:t>
      </w:r>
      <w:proofErr w:type="spellEnd"/>
      <w:r w:rsidRPr="00087894">
        <w:rPr>
          <w:iCs/>
          <w:sz w:val="28"/>
          <w:szCs w:val="28"/>
          <w:lang w:val="uk-UA"/>
        </w:rPr>
        <w:t>. Л.М. Рибалко</w:t>
      </w:r>
    </w:p>
    <w:p w:rsidR="00F65F12" w:rsidRDefault="00087894" w:rsidP="002D34A3">
      <w:pPr>
        <w:tabs>
          <w:tab w:val="left" w:pos="9810"/>
          <w:tab w:val="left" w:pos="10035"/>
        </w:tabs>
        <w:spacing w:line="360" w:lineRule="auto"/>
        <w:jc w:val="center"/>
        <w:rPr>
          <w:iCs/>
          <w:sz w:val="28"/>
          <w:szCs w:val="28"/>
          <w:lang w:val="uk-UA"/>
        </w:rPr>
      </w:pPr>
      <w:r w:rsidRPr="00087894">
        <w:rPr>
          <w:iCs/>
          <w:sz w:val="28"/>
          <w:szCs w:val="28"/>
          <w:lang w:val="uk-UA"/>
        </w:rPr>
        <w:t xml:space="preserve">Національний університет «Полтавська політехніка </w:t>
      </w:r>
    </w:p>
    <w:p w:rsidR="00087894" w:rsidRPr="00087894" w:rsidRDefault="00087894" w:rsidP="002D34A3">
      <w:pPr>
        <w:tabs>
          <w:tab w:val="left" w:pos="9810"/>
          <w:tab w:val="left" w:pos="10035"/>
        </w:tabs>
        <w:spacing w:line="360" w:lineRule="auto"/>
        <w:jc w:val="center"/>
        <w:rPr>
          <w:sz w:val="28"/>
          <w:szCs w:val="28"/>
          <w:lang w:val="uk-UA"/>
        </w:rPr>
      </w:pPr>
      <w:r w:rsidRPr="00087894">
        <w:rPr>
          <w:iCs/>
          <w:sz w:val="28"/>
          <w:szCs w:val="28"/>
          <w:lang w:val="uk-UA"/>
        </w:rPr>
        <w:t>імені Юрія Кондратюка»</w:t>
      </w:r>
    </w:p>
    <w:p w:rsidR="00496663" w:rsidRPr="00087894" w:rsidRDefault="00496663" w:rsidP="00087894">
      <w:pPr>
        <w:tabs>
          <w:tab w:val="left" w:pos="9810"/>
        </w:tabs>
        <w:spacing w:line="360" w:lineRule="auto"/>
        <w:ind w:firstLine="709"/>
        <w:jc w:val="center"/>
        <w:rPr>
          <w:sz w:val="28"/>
          <w:szCs w:val="28"/>
          <w:lang w:val="uk-UA"/>
        </w:rPr>
      </w:pPr>
    </w:p>
    <w:p w:rsidR="00EB51DF" w:rsidRDefault="00EB51DF" w:rsidP="00EB51DF">
      <w:pPr>
        <w:pStyle w:val="3"/>
        <w:spacing w:after="0" w:line="360" w:lineRule="auto"/>
        <w:ind w:left="0" w:firstLine="709"/>
        <w:jc w:val="both"/>
        <w:rPr>
          <w:sz w:val="28"/>
          <w:szCs w:val="28"/>
          <w:lang w:val="uk-UA"/>
        </w:rPr>
      </w:pPr>
      <w:r>
        <w:rPr>
          <w:sz w:val="28"/>
          <w:szCs w:val="28"/>
          <w:lang w:val="uk-UA"/>
        </w:rPr>
        <w:t xml:space="preserve">Досліджуючи рухову активність у студентів ЗВО прийшли до висновку, що більшість студентів (72%) гуманітарного факультету мають малу рухову активність, тоді як близько 80% студентів факультету фізичної культури та спорту мають середню та високу рухову активність. </w:t>
      </w:r>
    </w:p>
    <w:p w:rsidR="00EB51DF" w:rsidRDefault="00EB51DF" w:rsidP="00EB51DF">
      <w:pPr>
        <w:pStyle w:val="3"/>
        <w:spacing w:after="0" w:line="360" w:lineRule="auto"/>
        <w:ind w:left="0" w:firstLine="709"/>
        <w:jc w:val="both"/>
        <w:rPr>
          <w:sz w:val="28"/>
          <w:szCs w:val="28"/>
          <w:lang w:val="uk-UA"/>
        </w:rPr>
      </w:pPr>
      <w:r>
        <w:rPr>
          <w:sz w:val="28"/>
          <w:szCs w:val="28"/>
          <w:lang w:val="uk-UA"/>
        </w:rPr>
        <w:t xml:space="preserve">Добову рухову активність визначали за допомогою </w:t>
      </w:r>
      <w:proofErr w:type="spellStart"/>
      <w:r>
        <w:rPr>
          <w:sz w:val="28"/>
          <w:szCs w:val="28"/>
          <w:lang w:val="uk-UA"/>
        </w:rPr>
        <w:t>Фремінгемської</w:t>
      </w:r>
      <w:proofErr w:type="spellEnd"/>
      <w:r>
        <w:rPr>
          <w:sz w:val="28"/>
          <w:szCs w:val="28"/>
          <w:lang w:val="uk-UA"/>
        </w:rPr>
        <w:t xml:space="preserve"> методики дослідження [6, с. 111]. Результати добової рухової активності студентів факультету фізичної культури та спорту подано в таблиці 1.</w:t>
      </w:r>
    </w:p>
    <w:p w:rsidR="00EB51DF" w:rsidRDefault="00EB51DF" w:rsidP="00EB51DF">
      <w:pPr>
        <w:pStyle w:val="3"/>
        <w:spacing w:after="0" w:line="360" w:lineRule="auto"/>
        <w:ind w:left="0"/>
        <w:jc w:val="right"/>
        <w:rPr>
          <w:rFonts w:ascii="Calibri" w:hAnsi="Calibri"/>
          <w:i/>
          <w:sz w:val="28"/>
          <w:szCs w:val="28"/>
          <w:lang w:val="uk-UA"/>
        </w:rPr>
      </w:pPr>
      <w:r>
        <w:rPr>
          <w:i/>
          <w:sz w:val="28"/>
          <w:szCs w:val="28"/>
          <w:lang w:val="uk-UA"/>
        </w:rPr>
        <w:t>Таблиця 1</w:t>
      </w:r>
    </w:p>
    <w:p w:rsidR="00EB51DF" w:rsidRDefault="00EB51DF" w:rsidP="00EB51DF">
      <w:pPr>
        <w:pStyle w:val="3"/>
        <w:spacing w:after="0"/>
        <w:ind w:left="0"/>
        <w:jc w:val="center"/>
        <w:rPr>
          <w:b/>
          <w:sz w:val="28"/>
          <w:szCs w:val="28"/>
          <w:lang w:val="uk-UA"/>
        </w:rPr>
      </w:pPr>
      <w:r>
        <w:rPr>
          <w:b/>
          <w:sz w:val="28"/>
          <w:szCs w:val="28"/>
          <w:lang w:val="uk-UA"/>
        </w:rPr>
        <w:t xml:space="preserve">Показники добової рухової активності студентів </w:t>
      </w:r>
    </w:p>
    <w:p w:rsidR="00EB51DF" w:rsidRDefault="00EB51DF" w:rsidP="00EB51DF">
      <w:pPr>
        <w:pStyle w:val="3"/>
        <w:spacing w:after="0"/>
        <w:ind w:left="0"/>
        <w:jc w:val="center"/>
        <w:rPr>
          <w:b/>
          <w:sz w:val="28"/>
          <w:szCs w:val="28"/>
          <w:lang w:val="uk-UA"/>
        </w:rPr>
      </w:pPr>
      <w:r>
        <w:rPr>
          <w:b/>
          <w:sz w:val="28"/>
          <w:szCs w:val="28"/>
          <w:lang w:val="uk-UA"/>
        </w:rPr>
        <w:t>факультету фізичної культури та спорту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74"/>
        <w:gridCol w:w="1611"/>
        <w:gridCol w:w="1582"/>
        <w:gridCol w:w="1612"/>
        <w:gridCol w:w="1583"/>
      </w:tblGrid>
      <w:tr w:rsidR="00EB51DF" w:rsidTr="00EB51DF">
        <w:tc>
          <w:tcPr>
            <w:tcW w:w="3284" w:type="dxa"/>
            <w:gridSpan w:val="2"/>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Рівні рухової активності</w:t>
            </w:r>
          </w:p>
        </w:tc>
        <w:tc>
          <w:tcPr>
            <w:tcW w:w="3284" w:type="dxa"/>
            <w:gridSpan w:val="2"/>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Юнаки</w:t>
            </w:r>
          </w:p>
        </w:tc>
        <w:tc>
          <w:tcPr>
            <w:tcW w:w="3286" w:type="dxa"/>
            <w:gridSpan w:val="2"/>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Дівчата</w:t>
            </w:r>
          </w:p>
        </w:tc>
      </w:tr>
      <w:tr w:rsidR="00EB51DF" w:rsidTr="00EB51D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b/>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год/ІФА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год/ІФА</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b/>
                <w:sz w:val="24"/>
                <w:szCs w:val="24"/>
                <w:lang w:val="uk-UA"/>
              </w:rPr>
            </w:pPr>
            <w:r>
              <w:rPr>
                <w:b/>
                <w:sz w:val="24"/>
                <w:szCs w:val="24"/>
                <w:lang w:val="uk-UA"/>
              </w:rPr>
              <w:t>%</w:t>
            </w:r>
          </w:p>
        </w:tc>
      </w:tr>
      <w:tr w:rsidR="00EB51DF" w:rsidTr="00EB51DF">
        <w:tc>
          <w:tcPr>
            <w:tcW w:w="1642" w:type="dxa"/>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Базовий</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год</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7,45±0,25</w:t>
            </w:r>
          </w:p>
        </w:tc>
        <w:tc>
          <w:tcPr>
            <w:tcW w:w="1642"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9,2</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6,15±0,25</w:t>
            </w:r>
          </w:p>
        </w:tc>
        <w:tc>
          <w:tcPr>
            <w:tcW w:w="1643"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9,4</w:t>
            </w:r>
          </w:p>
        </w:tc>
      </w:tr>
      <w:tr w:rsidR="00EB51DF" w:rsidTr="00EB51DF">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7,45±0,25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7,15±0,25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r>
      <w:tr w:rsidR="00EB51DF" w:rsidTr="00EB51DF">
        <w:tc>
          <w:tcPr>
            <w:tcW w:w="1642" w:type="dxa"/>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Сидячий</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год</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4,25±0,45</w:t>
            </w:r>
          </w:p>
        </w:tc>
        <w:tc>
          <w:tcPr>
            <w:tcW w:w="1642"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8,8</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5,15±0,75</w:t>
            </w:r>
          </w:p>
        </w:tc>
        <w:tc>
          <w:tcPr>
            <w:tcW w:w="1643"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11,3</w:t>
            </w:r>
          </w:p>
        </w:tc>
      </w:tr>
      <w:tr w:rsidR="00EB51DF" w:rsidTr="00EB51DF">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 5±0,45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5,0±0,25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r>
      <w:tr w:rsidR="00EB51DF" w:rsidTr="00EB51DF">
        <w:tc>
          <w:tcPr>
            <w:tcW w:w="1642" w:type="dxa"/>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Малий</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год</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4,45±0,15</w:t>
            </w:r>
          </w:p>
        </w:tc>
        <w:tc>
          <w:tcPr>
            <w:tcW w:w="1642"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11,3</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5,45±0,45</w:t>
            </w:r>
          </w:p>
        </w:tc>
        <w:tc>
          <w:tcPr>
            <w:tcW w:w="1643"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16,0</w:t>
            </w:r>
          </w:p>
        </w:tc>
      </w:tr>
      <w:tr w:rsidR="00EB51DF" w:rsidTr="00EB51DF">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4,25±0,35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6,45±0,35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r>
      <w:tr w:rsidR="00EB51DF" w:rsidTr="00EB51DF">
        <w:tc>
          <w:tcPr>
            <w:tcW w:w="1642" w:type="dxa"/>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Середній</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год</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5,55±0,75</w:t>
            </w:r>
          </w:p>
        </w:tc>
        <w:tc>
          <w:tcPr>
            <w:tcW w:w="1642"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37,3</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7,45±0,25</w:t>
            </w:r>
          </w:p>
        </w:tc>
        <w:tc>
          <w:tcPr>
            <w:tcW w:w="1643"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34,5</w:t>
            </w:r>
          </w:p>
        </w:tc>
      </w:tr>
      <w:tr w:rsidR="00EB51DF" w:rsidTr="00EB51DF">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5,45±0,5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7,45±0,25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r>
      <w:tr w:rsidR="00EB51DF" w:rsidTr="00EB51DF">
        <w:tc>
          <w:tcPr>
            <w:tcW w:w="1642" w:type="dxa"/>
            <w:vMerge w:val="restart"/>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Високий</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год</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4,35±0,25</w:t>
            </w:r>
          </w:p>
        </w:tc>
        <w:tc>
          <w:tcPr>
            <w:tcW w:w="1642"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33,4</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2,15±0,45</w:t>
            </w:r>
          </w:p>
        </w:tc>
        <w:tc>
          <w:tcPr>
            <w:tcW w:w="1643" w:type="dxa"/>
            <w:vMerge w:val="restart"/>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center"/>
              <w:rPr>
                <w:sz w:val="24"/>
                <w:szCs w:val="24"/>
                <w:lang w:val="uk-UA"/>
              </w:rPr>
            </w:pPr>
          </w:p>
          <w:p w:rsidR="00EB51DF" w:rsidRDefault="00EB51DF" w:rsidP="00EB51DF">
            <w:pPr>
              <w:pStyle w:val="3"/>
              <w:spacing w:after="0"/>
              <w:ind w:left="0"/>
              <w:jc w:val="center"/>
              <w:rPr>
                <w:sz w:val="24"/>
                <w:szCs w:val="24"/>
                <w:lang w:val="uk-UA"/>
              </w:rPr>
            </w:pPr>
            <w:r>
              <w:rPr>
                <w:sz w:val="24"/>
                <w:szCs w:val="24"/>
                <w:lang w:val="uk-UA"/>
              </w:rPr>
              <w:t>28,8</w:t>
            </w:r>
          </w:p>
        </w:tc>
      </w:tr>
      <w:tr w:rsidR="00EB51DF" w:rsidTr="00EB51DF">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ІФА</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3,35±0,25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1,45±0,35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1DF" w:rsidRDefault="00EB51DF" w:rsidP="00EB51DF">
            <w:pPr>
              <w:rPr>
                <w:lang w:val="uk-UA"/>
              </w:rPr>
            </w:pPr>
          </w:p>
        </w:tc>
      </w:tr>
      <w:tr w:rsidR="00EB51DF" w:rsidTr="00EB51DF">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both"/>
              <w:rPr>
                <w:sz w:val="24"/>
                <w:szCs w:val="24"/>
                <w:lang w:val="uk-UA"/>
              </w:rPr>
            </w:pPr>
            <w:r>
              <w:rPr>
                <w:sz w:val="24"/>
                <w:szCs w:val="24"/>
                <w:lang w:val="uk-UA"/>
              </w:rPr>
              <w:t>Всього</w:t>
            </w:r>
          </w:p>
        </w:tc>
        <w:tc>
          <w:tcPr>
            <w:tcW w:w="1642" w:type="dxa"/>
            <w:tcBorders>
              <w:top w:val="single" w:sz="4" w:space="0" w:color="auto"/>
              <w:left w:val="single" w:sz="4" w:space="0" w:color="auto"/>
              <w:bottom w:val="single" w:sz="4" w:space="0" w:color="auto"/>
              <w:right w:val="single" w:sz="4" w:space="0" w:color="auto"/>
            </w:tcBorders>
          </w:tcPr>
          <w:p w:rsidR="00EB51DF" w:rsidRDefault="00EB51DF" w:rsidP="00EB51DF">
            <w:pPr>
              <w:pStyle w:val="3"/>
              <w:spacing w:after="0"/>
              <w:ind w:left="0"/>
              <w:jc w:val="both"/>
              <w:rPr>
                <w:sz w:val="24"/>
                <w:szCs w:val="24"/>
                <w:lang w:val="uk-UA"/>
              </w:rPr>
            </w:pP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42,0/33,3</w:t>
            </w:r>
          </w:p>
        </w:tc>
        <w:tc>
          <w:tcPr>
            <w:tcW w:w="1642"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100%</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41,0/31,5</w:t>
            </w:r>
          </w:p>
        </w:tc>
        <w:tc>
          <w:tcPr>
            <w:tcW w:w="1643" w:type="dxa"/>
            <w:tcBorders>
              <w:top w:val="single" w:sz="4" w:space="0" w:color="auto"/>
              <w:left w:val="single" w:sz="4" w:space="0" w:color="auto"/>
              <w:bottom w:val="single" w:sz="4" w:space="0" w:color="auto"/>
              <w:right w:val="single" w:sz="4" w:space="0" w:color="auto"/>
            </w:tcBorders>
            <w:hideMark/>
          </w:tcPr>
          <w:p w:rsidR="00EB51DF" w:rsidRDefault="00EB51DF" w:rsidP="00EB51DF">
            <w:pPr>
              <w:pStyle w:val="3"/>
              <w:spacing w:after="0"/>
              <w:ind w:left="0"/>
              <w:jc w:val="center"/>
              <w:rPr>
                <w:sz w:val="24"/>
                <w:szCs w:val="24"/>
                <w:lang w:val="uk-UA"/>
              </w:rPr>
            </w:pPr>
            <w:r>
              <w:rPr>
                <w:sz w:val="24"/>
                <w:szCs w:val="24"/>
                <w:lang w:val="uk-UA"/>
              </w:rPr>
              <w:t>100%</w:t>
            </w:r>
          </w:p>
        </w:tc>
      </w:tr>
    </w:tbl>
    <w:p w:rsidR="00EB51DF" w:rsidRDefault="00EB51DF" w:rsidP="00EB51DF">
      <w:pPr>
        <w:pStyle w:val="3"/>
        <w:spacing w:after="0" w:line="360" w:lineRule="auto"/>
        <w:ind w:left="0" w:firstLine="709"/>
        <w:jc w:val="both"/>
        <w:rPr>
          <w:sz w:val="28"/>
          <w:szCs w:val="28"/>
          <w:lang w:val="uk-UA"/>
        </w:rPr>
      </w:pPr>
    </w:p>
    <w:p w:rsidR="00EB51DF" w:rsidRDefault="00EB51DF" w:rsidP="00EB51DF">
      <w:pPr>
        <w:pStyle w:val="3"/>
        <w:spacing w:after="0" w:line="360" w:lineRule="auto"/>
        <w:ind w:left="0" w:firstLine="709"/>
        <w:jc w:val="both"/>
        <w:rPr>
          <w:sz w:val="28"/>
          <w:szCs w:val="28"/>
          <w:lang w:val="uk-UA"/>
        </w:rPr>
      </w:pPr>
      <w:r>
        <w:rPr>
          <w:sz w:val="28"/>
          <w:szCs w:val="28"/>
          <w:lang w:val="uk-UA"/>
        </w:rPr>
        <w:lastRenderedPageBreak/>
        <w:t xml:space="preserve">Аналіз хронометражу добової рухової активності студентів показав, що більшу частину малого рівня займають заняття в університеті, що свідчить про великий обсяг навчального навантаження. Зареєстровані показники середнього й високого рівнів рухової активності були найменші. Проте для студентів факультету фізичної культури та спорту вони були досить високими. Так, середній рівень рухової активності, до якого належать домашня робота по господарству, прогулянки, ранкова гімнастика, у студентів факультету фізичної культури та спорту – 5,5 год. У процентному співвідношенні ці рівні становили, відповідно, – 35,2, 21,0 і 33,3 % добового бюджету часу в юнаків та 36,4, 21,8 і 33,4 % добового бюджету часу в дівчат. До високого рівня рухової активності відносили спеціально організовані заняття фізичними вправами й спортом, інтенсивні рухливі та спортивні ігри. На нього студенти витрачають від 1,45 до 4,35 год., що становить від 1,8 до 1,2 % добової рухової активності. </w:t>
      </w:r>
    </w:p>
    <w:p w:rsidR="00EB51DF" w:rsidRDefault="00EB51DF" w:rsidP="00EB51DF">
      <w:pPr>
        <w:pStyle w:val="3"/>
        <w:spacing w:after="0" w:line="360" w:lineRule="auto"/>
        <w:ind w:left="0" w:firstLine="709"/>
        <w:jc w:val="both"/>
        <w:rPr>
          <w:sz w:val="28"/>
          <w:szCs w:val="28"/>
          <w:lang w:val="uk-UA"/>
        </w:rPr>
      </w:pPr>
      <w:r>
        <w:rPr>
          <w:sz w:val="28"/>
          <w:szCs w:val="28"/>
          <w:lang w:val="uk-UA"/>
        </w:rPr>
        <w:t>Залежно від отриманих результатів усіх студентів поділено за рівнями рухової активності (низький, середній та високий). Серед усіх обстежених дівчат низький рівень фізичної активності (</w:t>
      </w:r>
      <w:proofErr w:type="spellStart"/>
      <w:r>
        <w:rPr>
          <w:sz w:val="28"/>
          <w:szCs w:val="28"/>
          <w:lang w:val="uk-UA"/>
        </w:rPr>
        <w:t>ІФАд</w:t>
      </w:r>
      <w:proofErr w:type="spellEnd"/>
      <w:r>
        <w:rPr>
          <w:sz w:val="28"/>
          <w:szCs w:val="28"/>
          <w:lang w:val="uk-UA"/>
        </w:rPr>
        <w:t xml:space="preserve"> &lt; 31 </w:t>
      </w:r>
      <w:proofErr w:type="spellStart"/>
      <w:r>
        <w:rPr>
          <w:sz w:val="28"/>
          <w:szCs w:val="28"/>
          <w:lang w:val="uk-UA"/>
        </w:rPr>
        <w:t>бала</w:t>
      </w:r>
      <w:proofErr w:type="spellEnd"/>
      <w:r>
        <w:rPr>
          <w:sz w:val="28"/>
          <w:szCs w:val="28"/>
          <w:lang w:val="uk-UA"/>
        </w:rPr>
        <w:t>) мали 35,6 %, середній – 45,5 %, високий рівень (</w:t>
      </w:r>
      <w:proofErr w:type="spellStart"/>
      <w:r>
        <w:rPr>
          <w:sz w:val="28"/>
          <w:szCs w:val="28"/>
          <w:lang w:val="uk-UA"/>
        </w:rPr>
        <w:t>ІФАд</w:t>
      </w:r>
      <w:proofErr w:type="spellEnd"/>
      <w:r>
        <w:rPr>
          <w:sz w:val="28"/>
          <w:szCs w:val="28"/>
          <w:lang w:val="uk-UA"/>
        </w:rPr>
        <w:t xml:space="preserve"> &gt; 34 балів) виявлено у 28% дівчат. Серед юнаків низький рівень фізичної активності (</w:t>
      </w:r>
      <w:proofErr w:type="spellStart"/>
      <w:r>
        <w:rPr>
          <w:sz w:val="28"/>
          <w:szCs w:val="28"/>
          <w:lang w:val="uk-UA"/>
        </w:rPr>
        <w:t>ІФАд</w:t>
      </w:r>
      <w:proofErr w:type="spellEnd"/>
      <w:r>
        <w:rPr>
          <w:sz w:val="28"/>
          <w:szCs w:val="28"/>
          <w:lang w:val="uk-UA"/>
        </w:rPr>
        <w:t xml:space="preserve"> &lt; 32 балів) виявлено в 9,3 % осіб, середній – у 37,0 %, високий – у 33% осіб (</w:t>
      </w:r>
      <w:proofErr w:type="spellStart"/>
      <w:r>
        <w:rPr>
          <w:sz w:val="28"/>
          <w:szCs w:val="28"/>
          <w:lang w:val="uk-UA"/>
        </w:rPr>
        <w:t>ІФАд</w:t>
      </w:r>
      <w:proofErr w:type="spellEnd"/>
      <w:r>
        <w:rPr>
          <w:sz w:val="28"/>
          <w:szCs w:val="28"/>
          <w:lang w:val="uk-UA"/>
        </w:rPr>
        <w:t xml:space="preserve"> &gt; 34,8). Під час оцінки тижневої рухової активності в студентів спостерігали поступове її збільшення в середині тижневого циклу (до 36 балів у дівчат та до 39 балів у юнаків), деяке зниження тижневої рухової активності простежували в п’ятницю й суботу та незначне її зростання в неділю (35–38 балів). </w:t>
      </w:r>
    </w:p>
    <w:p w:rsidR="00EB51DF" w:rsidRDefault="00EB51DF" w:rsidP="00EB51DF">
      <w:pPr>
        <w:pStyle w:val="3"/>
        <w:spacing w:after="0" w:line="360" w:lineRule="auto"/>
        <w:ind w:left="0" w:firstLine="709"/>
        <w:jc w:val="both"/>
        <w:rPr>
          <w:sz w:val="28"/>
          <w:szCs w:val="28"/>
          <w:lang w:val="uk-UA"/>
        </w:rPr>
      </w:pPr>
      <w:r>
        <w:rPr>
          <w:sz w:val="28"/>
          <w:szCs w:val="28"/>
          <w:lang w:val="uk-UA"/>
        </w:rPr>
        <w:t>Отже, аналіз добової рухової активності студентів свідчить про переважання серед більшості студентів факультету фізичної культури та спорту середнього та високого рівнів рухової активності. Тоді як для студентів гуманітарного факультету оптимальним є низький рівень.</w:t>
      </w:r>
    </w:p>
    <w:p w:rsidR="00496663" w:rsidRPr="00087894" w:rsidRDefault="00496663" w:rsidP="00087894">
      <w:pPr>
        <w:pStyle w:val="a4"/>
        <w:tabs>
          <w:tab w:val="left" w:pos="9810"/>
        </w:tabs>
        <w:spacing w:line="360" w:lineRule="auto"/>
        <w:ind w:firstLine="709"/>
        <w:jc w:val="both"/>
        <w:rPr>
          <w:rFonts w:ascii="Times New Roman" w:hAnsi="Times New Roman" w:cs="Times New Roman"/>
          <w:szCs w:val="28"/>
        </w:rPr>
      </w:pPr>
    </w:p>
    <w:p w:rsidR="00496663" w:rsidRPr="00F65F12" w:rsidRDefault="00F65F12" w:rsidP="00087894">
      <w:pPr>
        <w:pStyle w:val="a4"/>
        <w:tabs>
          <w:tab w:val="left" w:pos="9810"/>
        </w:tabs>
        <w:spacing w:line="360" w:lineRule="auto"/>
        <w:ind w:firstLine="709"/>
        <w:jc w:val="center"/>
        <w:rPr>
          <w:rFonts w:ascii="Times New Roman" w:hAnsi="Times New Roman" w:cs="Times New Roman"/>
          <w:b/>
          <w:bCs/>
          <w:iCs/>
          <w:color w:val="000000"/>
          <w:szCs w:val="28"/>
        </w:rPr>
      </w:pPr>
      <w:r>
        <w:rPr>
          <w:rFonts w:ascii="Times New Roman" w:hAnsi="Times New Roman" w:cs="Times New Roman"/>
          <w:b/>
          <w:bCs/>
          <w:iCs/>
          <w:color w:val="000000"/>
          <w:szCs w:val="28"/>
        </w:rPr>
        <w:t>Список використаних джерел</w:t>
      </w:r>
    </w:p>
    <w:p w:rsidR="00EB51DF" w:rsidRDefault="00EB51DF" w:rsidP="00EB51DF">
      <w:pPr>
        <w:pStyle w:val="3"/>
        <w:spacing w:after="0" w:line="360" w:lineRule="auto"/>
        <w:ind w:left="0" w:firstLine="567"/>
        <w:jc w:val="both"/>
        <w:rPr>
          <w:spacing w:val="-4"/>
          <w:sz w:val="28"/>
          <w:szCs w:val="28"/>
        </w:rPr>
      </w:pPr>
      <w:r>
        <w:rPr>
          <w:sz w:val="28"/>
          <w:szCs w:val="28"/>
          <w:lang w:val="uk-UA"/>
        </w:rPr>
        <w:lastRenderedPageBreak/>
        <w:t>1. </w:t>
      </w:r>
      <w:r>
        <w:rPr>
          <w:spacing w:val="-4"/>
          <w:sz w:val="28"/>
          <w:szCs w:val="28"/>
          <w:lang w:val="uk-UA"/>
        </w:rPr>
        <w:t xml:space="preserve">Бабюк С. Рухова активність та її вплив на фізичний та психічний розвиток дітей старшого дошкільного віку у підготовці до навчання. </w:t>
      </w:r>
      <w:r w:rsidRPr="00EB51DF">
        <w:rPr>
          <w:i/>
          <w:spacing w:val="-4"/>
          <w:sz w:val="28"/>
          <w:szCs w:val="28"/>
          <w:lang w:val="uk-UA"/>
        </w:rPr>
        <w:t>Молода спортивна наука України</w:t>
      </w:r>
      <w:r>
        <w:rPr>
          <w:spacing w:val="-4"/>
          <w:sz w:val="28"/>
          <w:szCs w:val="28"/>
          <w:lang w:val="uk-UA"/>
        </w:rPr>
        <w:t xml:space="preserve">: Зб. наук. пр. Вип. 8. Львів: НВФ «Українські технології», 2004. Т. 3. </w:t>
      </w:r>
      <w:r>
        <w:rPr>
          <w:spacing w:val="-4"/>
          <w:sz w:val="28"/>
          <w:szCs w:val="28"/>
        </w:rPr>
        <w:t xml:space="preserve">С. 10-14.  </w:t>
      </w:r>
    </w:p>
    <w:p w:rsidR="00EB51DF" w:rsidRDefault="00EB51DF" w:rsidP="00EB51DF">
      <w:pPr>
        <w:pStyle w:val="3"/>
        <w:spacing w:after="0" w:line="360" w:lineRule="auto"/>
        <w:ind w:left="0" w:firstLine="567"/>
        <w:jc w:val="both"/>
        <w:rPr>
          <w:sz w:val="28"/>
          <w:szCs w:val="28"/>
          <w:lang w:val="uk-UA"/>
        </w:rPr>
      </w:pPr>
      <w:r>
        <w:rPr>
          <w:sz w:val="28"/>
          <w:szCs w:val="28"/>
          <w:lang w:val="uk-UA"/>
        </w:rPr>
        <w:t>6. Круцевич Т. Ю. Методи дослідження індивідуального здоров’я дітей та підлітків у процесі фізичного виховання. К.: Олімпійська, 1999. 230 с.</w:t>
      </w:r>
    </w:p>
    <w:p w:rsidR="00EB51DF" w:rsidRPr="00EB51DF" w:rsidRDefault="00EB51DF" w:rsidP="00EB51DF">
      <w:pPr>
        <w:pStyle w:val="3"/>
        <w:spacing w:after="0" w:line="360" w:lineRule="auto"/>
        <w:ind w:left="0" w:firstLine="567"/>
        <w:jc w:val="both"/>
        <w:rPr>
          <w:spacing w:val="-4"/>
          <w:sz w:val="28"/>
          <w:szCs w:val="28"/>
          <w:lang w:val="uk-UA"/>
        </w:rPr>
      </w:pPr>
      <w:r w:rsidRPr="00EB51DF">
        <w:rPr>
          <w:spacing w:val="-4"/>
          <w:sz w:val="28"/>
          <w:szCs w:val="28"/>
          <w:lang w:val="uk-UA"/>
        </w:rPr>
        <w:t xml:space="preserve">7. Насадюк І. Рухова активність студентів. </w:t>
      </w:r>
      <w:r w:rsidRPr="00EB51DF">
        <w:rPr>
          <w:i/>
          <w:spacing w:val="-4"/>
          <w:sz w:val="28"/>
          <w:szCs w:val="28"/>
          <w:lang w:val="uk-UA"/>
        </w:rPr>
        <w:t>Педагогіка, психологія та медично-біологічні проблеми фізичного виховання і спорту</w:t>
      </w:r>
      <w:r w:rsidRPr="00EB51DF">
        <w:rPr>
          <w:spacing w:val="-4"/>
          <w:sz w:val="28"/>
          <w:szCs w:val="28"/>
          <w:lang w:val="uk-UA"/>
        </w:rPr>
        <w:t xml:space="preserve">. 2003. № 7. С. 37-41. </w:t>
      </w:r>
    </w:p>
    <w:p w:rsidR="00496663" w:rsidRPr="00087894" w:rsidRDefault="00496663" w:rsidP="00087894">
      <w:pPr>
        <w:pStyle w:val="a4"/>
        <w:tabs>
          <w:tab w:val="left" w:pos="9810"/>
        </w:tabs>
        <w:spacing w:line="360" w:lineRule="auto"/>
        <w:ind w:firstLine="709"/>
        <w:rPr>
          <w:rFonts w:ascii="Times New Roman" w:hAnsi="Times New Roman" w:cs="Times New Roman"/>
          <w:color w:val="000000"/>
          <w:szCs w:val="28"/>
        </w:rPr>
      </w:pPr>
    </w:p>
    <w:p w:rsidR="00B712FE" w:rsidRPr="00087894" w:rsidRDefault="00B712FE" w:rsidP="00087894">
      <w:pPr>
        <w:spacing w:line="360" w:lineRule="auto"/>
        <w:ind w:firstLine="709"/>
        <w:rPr>
          <w:sz w:val="28"/>
          <w:szCs w:val="28"/>
          <w:lang w:val="uk-UA"/>
        </w:rPr>
      </w:pPr>
    </w:p>
    <w:sectPr w:rsidR="00B712FE" w:rsidRPr="00087894" w:rsidSect="00B71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663"/>
    <w:rsid w:val="00087894"/>
    <w:rsid w:val="00096157"/>
    <w:rsid w:val="000D658C"/>
    <w:rsid w:val="00121BCC"/>
    <w:rsid w:val="00142AAA"/>
    <w:rsid w:val="002D34A3"/>
    <w:rsid w:val="0036667B"/>
    <w:rsid w:val="003A2FE6"/>
    <w:rsid w:val="003B795F"/>
    <w:rsid w:val="003C6012"/>
    <w:rsid w:val="003F20E0"/>
    <w:rsid w:val="00410D38"/>
    <w:rsid w:val="00451958"/>
    <w:rsid w:val="004847E4"/>
    <w:rsid w:val="00496663"/>
    <w:rsid w:val="004C6FC1"/>
    <w:rsid w:val="00556DAB"/>
    <w:rsid w:val="005A06F4"/>
    <w:rsid w:val="005A1A32"/>
    <w:rsid w:val="005C0124"/>
    <w:rsid w:val="005C7333"/>
    <w:rsid w:val="006164D9"/>
    <w:rsid w:val="00644A23"/>
    <w:rsid w:val="0065365C"/>
    <w:rsid w:val="006964B5"/>
    <w:rsid w:val="006D7410"/>
    <w:rsid w:val="00726E65"/>
    <w:rsid w:val="00792773"/>
    <w:rsid w:val="007A5378"/>
    <w:rsid w:val="007F29CA"/>
    <w:rsid w:val="00830B8B"/>
    <w:rsid w:val="0084715A"/>
    <w:rsid w:val="00874BF8"/>
    <w:rsid w:val="008D4E8F"/>
    <w:rsid w:val="0091774A"/>
    <w:rsid w:val="009E0E01"/>
    <w:rsid w:val="00B13F85"/>
    <w:rsid w:val="00B712FE"/>
    <w:rsid w:val="00B965F9"/>
    <w:rsid w:val="00BA3D2B"/>
    <w:rsid w:val="00D63DF9"/>
    <w:rsid w:val="00E43D5A"/>
    <w:rsid w:val="00EB51DF"/>
    <w:rsid w:val="00EC7ACA"/>
    <w:rsid w:val="00F039EF"/>
    <w:rsid w:val="00F266A1"/>
    <w:rsid w:val="00F54638"/>
    <w:rsid w:val="00F65F12"/>
    <w:rsid w:val="00FA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FE3B"/>
  <w15:docId w15:val="{561E58A2-3344-4899-B073-B0D87BA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63"/>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496663"/>
    <w:rPr>
      <w:sz w:val="28"/>
      <w:lang w:val="uk-UA" w:eastAsia="ar-SA"/>
    </w:rPr>
  </w:style>
  <w:style w:type="paragraph" w:styleId="a4">
    <w:name w:val="Body Text"/>
    <w:basedOn w:val="a"/>
    <w:link w:val="a3"/>
    <w:rsid w:val="00496663"/>
    <w:pPr>
      <w:suppressAutoHyphens/>
    </w:pPr>
    <w:rPr>
      <w:rFonts w:asciiTheme="minorHAnsi" w:eastAsiaTheme="minorHAnsi" w:hAnsiTheme="minorHAnsi" w:cstheme="minorBidi"/>
      <w:sz w:val="28"/>
      <w:szCs w:val="22"/>
      <w:lang w:val="uk-UA" w:eastAsia="ar-SA"/>
    </w:rPr>
  </w:style>
  <w:style w:type="character" w:customStyle="1" w:styleId="1">
    <w:name w:val="Основной текст Знак1"/>
    <w:basedOn w:val="a0"/>
    <w:uiPriority w:val="99"/>
    <w:semiHidden/>
    <w:rsid w:val="00496663"/>
    <w:rPr>
      <w:rFonts w:ascii="Times New Roman" w:eastAsia="Times New Roman" w:hAnsi="Times New Roman" w:cs="Times New Roman"/>
      <w:sz w:val="24"/>
      <w:szCs w:val="24"/>
      <w:lang w:eastAsia="ru-RU"/>
    </w:rPr>
  </w:style>
  <w:style w:type="character" w:customStyle="1" w:styleId="-">
    <w:name w:val="Интернет-ссылка"/>
    <w:rsid w:val="00496663"/>
    <w:rPr>
      <w:color w:val="000080"/>
      <w:u w:val="single"/>
    </w:rPr>
  </w:style>
  <w:style w:type="paragraph" w:styleId="3">
    <w:name w:val="Body Text Indent 3"/>
    <w:basedOn w:val="a"/>
    <w:link w:val="30"/>
    <w:uiPriority w:val="99"/>
    <w:semiHidden/>
    <w:unhideWhenUsed/>
    <w:rsid w:val="00EB51DF"/>
    <w:pPr>
      <w:spacing w:after="120"/>
      <w:ind w:left="283"/>
    </w:pPr>
    <w:rPr>
      <w:sz w:val="16"/>
      <w:szCs w:val="16"/>
    </w:rPr>
  </w:style>
  <w:style w:type="character" w:customStyle="1" w:styleId="30">
    <w:name w:val="Основной текст с отступом 3 Знак"/>
    <w:basedOn w:val="a0"/>
    <w:link w:val="3"/>
    <w:uiPriority w:val="99"/>
    <w:semiHidden/>
    <w:rsid w:val="00EB51D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93099">
      <w:bodyDiv w:val="1"/>
      <w:marLeft w:val="0"/>
      <w:marRight w:val="0"/>
      <w:marTop w:val="0"/>
      <w:marBottom w:val="0"/>
      <w:divBdr>
        <w:top w:val="none" w:sz="0" w:space="0" w:color="auto"/>
        <w:left w:val="none" w:sz="0" w:space="0" w:color="auto"/>
        <w:bottom w:val="none" w:sz="0" w:space="0" w:color="auto"/>
        <w:right w:val="none" w:sz="0" w:space="0" w:color="auto"/>
      </w:divBdr>
    </w:div>
    <w:div w:id="375350523">
      <w:bodyDiv w:val="1"/>
      <w:marLeft w:val="0"/>
      <w:marRight w:val="0"/>
      <w:marTop w:val="0"/>
      <w:marBottom w:val="0"/>
      <w:divBdr>
        <w:top w:val="none" w:sz="0" w:space="0" w:color="auto"/>
        <w:left w:val="none" w:sz="0" w:space="0" w:color="auto"/>
        <w:bottom w:val="none" w:sz="0" w:space="0" w:color="auto"/>
        <w:right w:val="none" w:sz="0" w:space="0" w:color="auto"/>
      </w:divBdr>
    </w:div>
    <w:div w:id="966280700">
      <w:bodyDiv w:val="1"/>
      <w:marLeft w:val="0"/>
      <w:marRight w:val="0"/>
      <w:marTop w:val="0"/>
      <w:marBottom w:val="0"/>
      <w:divBdr>
        <w:top w:val="none" w:sz="0" w:space="0" w:color="auto"/>
        <w:left w:val="none" w:sz="0" w:space="0" w:color="auto"/>
        <w:bottom w:val="none" w:sz="0" w:space="0" w:color="auto"/>
        <w:right w:val="none" w:sz="0" w:space="0" w:color="auto"/>
      </w:divBdr>
    </w:div>
    <w:div w:id="1663242105">
      <w:bodyDiv w:val="1"/>
      <w:marLeft w:val="0"/>
      <w:marRight w:val="0"/>
      <w:marTop w:val="0"/>
      <w:marBottom w:val="0"/>
      <w:divBdr>
        <w:top w:val="none" w:sz="0" w:space="0" w:color="auto"/>
        <w:left w:val="none" w:sz="0" w:space="0" w:color="auto"/>
        <w:bottom w:val="none" w:sz="0" w:space="0" w:color="auto"/>
        <w:right w:val="none" w:sz="0" w:space="0" w:color="auto"/>
      </w:divBdr>
    </w:div>
    <w:div w:id="21076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Домашний</cp:lastModifiedBy>
  <cp:revision>3</cp:revision>
  <dcterms:created xsi:type="dcterms:W3CDTF">2020-04-22T19:05:00Z</dcterms:created>
  <dcterms:modified xsi:type="dcterms:W3CDTF">2021-02-01T19:20:00Z</dcterms:modified>
</cp:coreProperties>
</file>