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1AB" w:rsidRPr="00695A9E" w:rsidRDefault="00CE31AB" w:rsidP="00CE31AB">
      <w:pPr>
        <w:pStyle w:val="a4"/>
        <w:widowControl w:val="0"/>
        <w:tabs>
          <w:tab w:val="left" w:pos="0"/>
          <w:tab w:val="left" w:pos="426"/>
        </w:tabs>
        <w:suppressAutoHyphens w:val="0"/>
        <w:spacing w:line="240" w:lineRule="auto"/>
        <w:ind w:left="0" w:firstLine="0"/>
        <w:contextualSpacing/>
        <w:rPr>
          <w:rFonts w:ascii="Cambria" w:hAnsi="Cambria"/>
          <w:b/>
          <w:szCs w:val="28"/>
        </w:rPr>
      </w:pPr>
      <w:r w:rsidRPr="00695A9E">
        <w:rPr>
          <w:rFonts w:ascii="Cambria" w:hAnsi="Cambria"/>
          <w:b/>
          <w:szCs w:val="28"/>
        </w:rPr>
        <w:t>УДК 378.4:796</w:t>
      </w:r>
    </w:p>
    <w:p w:rsidR="00CE31AB" w:rsidRPr="00695A9E" w:rsidRDefault="00CE31AB" w:rsidP="00CE31AB">
      <w:pPr>
        <w:rPr>
          <w:rFonts w:ascii="Cambria" w:hAnsi="Cambria"/>
          <w:b/>
          <w:sz w:val="28"/>
          <w:szCs w:val="28"/>
          <w:lang w:val="uk-UA"/>
        </w:rPr>
      </w:pPr>
    </w:p>
    <w:p w:rsidR="00CE31AB" w:rsidRPr="00695A9E" w:rsidRDefault="00CE31AB" w:rsidP="00CE31AB">
      <w:pPr>
        <w:jc w:val="center"/>
        <w:rPr>
          <w:rFonts w:ascii="Cambria" w:hAnsi="Cambria"/>
          <w:b/>
          <w:sz w:val="28"/>
          <w:szCs w:val="28"/>
          <w:lang w:val="uk-UA"/>
        </w:rPr>
      </w:pPr>
      <w:r w:rsidRPr="00695A9E">
        <w:rPr>
          <w:rFonts w:ascii="Cambria" w:hAnsi="Cambria"/>
          <w:b/>
          <w:sz w:val="28"/>
          <w:szCs w:val="28"/>
          <w:lang w:val="uk-UA"/>
        </w:rPr>
        <w:t xml:space="preserve">ХАРАКТЕРИСТИКА КОМУНІКАТИВНИХ ЗДІБНОСТЕЙ </w:t>
      </w:r>
    </w:p>
    <w:p w:rsidR="00CE31AB" w:rsidRPr="00695A9E" w:rsidRDefault="00CE31AB" w:rsidP="00CE31AB">
      <w:pPr>
        <w:jc w:val="center"/>
        <w:rPr>
          <w:rFonts w:ascii="Cambria" w:hAnsi="Cambria"/>
          <w:b/>
          <w:sz w:val="28"/>
          <w:szCs w:val="28"/>
          <w:lang w:val="uk-UA"/>
        </w:rPr>
      </w:pPr>
      <w:r w:rsidRPr="00695A9E">
        <w:rPr>
          <w:rFonts w:ascii="Cambria" w:hAnsi="Cambria"/>
          <w:b/>
          <w:sz w:val="28"/>
          <w:szCs w:val="28"/>
          <w:lang w:val="uk-UA"/>
        </w:rPr>
        <w:t>І ПСИХОЛОГ</w:t>
      </w:r>
      <w:r>
        <w:rPr>
          <w:rFonts w:ascii="Cambria" w:hAnsi="Cambria"/>
          <w:b/>
          <w:sz w:val="28"/>
          <w:szCs w:val="28"/>
          <w:lang w:val="uk-UA"/>
        </w:rPr>
        <w:t>ІЧНОЇ ПІДГОТОВЛЕНОСТІ СТУДЕНТОК</w:t>
      </w:r>
      <w:r>
        <w:rPr>
          <w:rFonts w:ascii="Cambria" w:hAnsi="Cambria"/>
          <w:b/>
          <w:sz w:val="28"/>
          <w:szCs w:val="28"/>
          <w:lang w:val="uk-UA"/>
        </w:rPr>
        <w:br/>
      </w:r>
      <w:r w:rsidRPr="00695A9E">
        <w:rPr>
          <w:rFonts w:ascii="Cambria" w:hAnsi="Cambria"/>
          <w:b/>
          <w:sz w:val="28"/>
          <w:szCs w:val="28"/>
          <w:lang w:val="uk-UA"/>
        </w:rPr>
        <w:t>ДО ПРОВЕДЕННЯ ЗАНЯТЬ З ОЗДОРОВЧОЇ АЕРОБІКИ</w:t>
      </w:r>
    </w:p>
    <w:p w:rsidR="00CE31AB" w:rsidRPr="00695A9E" w:rsidRDefault="00CE31AB" w:rsidP="00CE31AB">
      <w:pPr>
        <w:jc w:val="center"/>
        <w:rPr>
          <w:rFonts w:ascii="Cambria" w:hAnsi="Cambria"/>
          <w:b/>
          <w:sz w:val="28"/>
          <w:szCs w:val="28"/>
          <w:lang w:val="uk-UA"/>
        </w:rPr>
      </w:pPr>
    </w:p>
    <w:p w:rsidR="00CE31AB" w:rsidRPr="00695A9E" w:rsidRDefault="00CE31AB" w:rsidP="00CE31AB">
      <w:pPr>
        <w:jc w:val="center"/>
        <w:rPr>
          <w:rFonts w:ascii="Cambria" w:hAnsi="Cambria"/>
          <w:b/>
          <w:sz w:val="28"/>
          <w:szCs w:val="28"/>
          <w:lang w:val="uk-UA"/>
        </w:rPr>
      </w:pPr>
      <w:r w:rsidRPr="00695A9E">
        <w:rPr>
          <w:rFonts w:ascii="Cambria" w:hAnsi="Cambria"/>
          <w:b/>
          <w:sz w:val="28"/>
          <w:szCs w:val="28"/>
          <w:lang w:val="uk-UA"/>
        </w:rPr>
        <w:t>Синиця Т.О.</w:t>
      </w:r>
    </w:p>
    <w:p w:rsidR="00CE31AB" w:rsidRPr="0087510F" w:rsidRDefault="00CE31AB" w:rsidP="00CE31AB">
      <w:pPr>
        <w:jc w:val="center"/>
        <w:rPr>
          <w:rFonts w:ascii="Cambria" w:hAnsi="Cambria"/>
          <w:sz w:val="24"/>
          <w:szCs w:val="24"/>
          <w:lang w:val="uk-UA"/>
        </w:rPr>
      </w:pPr>
      <w:r w:rsidRPr="0087510F">
        <w:rPr>
          <w:rFonts w:ascii="Cambria" w:hAnsi="Cambria"/>
          <w:sz w:val="24"/>
          <w:szCs w:val="24"/>
          <w:lang w:val="uk-UA"/>
        </w:rPr>
        <w:t>Національний університет «Полтавська політехніка імені Юрія Кондратюка»</w:t>
      </w:r>
    </w:p>
    <w:p w:rsidR="00CE31AB" w:rsidRPr="00695A9E" w:rsidRDefault="00CE31AB" w:rsidP="00CE31AB">
      <w:pPr>
        <w:jc w:val="center"/>
        <w:rPr>
          <w:rFonts w:ascii="Cambria" w:hAnsi="Cambria"/>
          <w:i/>
          <w:sz w:val="24"/>
          <w:szCs w:val="24"/>
          <w:lang w:val="uk-UA"/>
        </w:rPr>
      </w:pPr>
      <w:r w:rsidRPr="00695A9E">
        <w:rPr>
          <w:rFonts w:ascii="Cambria" w:hAnsi="Cambria"/>
          <w:i/>
          <w:sz w:val="24"/>
          <w:szCs w:val="24"/>
          <w:lang w:val="uk-UA"/>
        </w:rPr>
        <w:t>sinicata@ukr.net</w:t>
      </w:r>
    </w:p>
    <w:p w:rsidR="00CE31AB" w:rsidRPr="00695A9E" w:rsidRDefault="00CE31AB" w:rsidP="00CE31AB">
      <w:pPr>
        <w:jc w:val="center"/>
        <w:rPr>
          <w:rFonts w:ascii="Cambria" w:hAnsi="Cambria"/>
          <w:b/>
          <w:sz w:val="28"/>
          <w:szCs w:val="28"/>
          <w:lang w:val="uk-UA"/>
        </w:rPr>
      </w:pPr>
      <w:r w:rsidRPr="00695A9E">
        <w:rPr>
          <w:rFonts w:ascii="Cambria" w:hAnsi="Cambria"/>
          <w:b/>
          <w:sz w:val="28"/>
          <w:szCs w:val="28"/>
          <w:lang w:val="uk-UA"/>
        </w:rPr>
        <w:t>Синиця С.В.</w:t>
      </w:r>
    </w:p>
    <w:p w:rsidR="00CE31AB" w:rsidRPr="0087510F" w:rsidRDefault="00CE31AB" w:rsidP="00CE31AB">
      <w:pPr>
        <w:jc w:val="center"/>
        <w:rPr>
          <w:rFonts w:ascii="Cambria" w:hAnsi="Cambria"/>
          <w:sz w:val="24"/>
          <w:szCs w:val="24"/>
          <w:lang w:val="uk-UA"/>
        </w:rPr>
      </w:pPr>
      <w:r w:rsidRPr="0087510F">
        <w:rPr>
          <w:rFonts w:ascii="Cambria" w:hAnsi="Cambria"/>
          <w:sz w:val="24"/>
          <w:szCs w:val="24"/>
          <w:lang w:val="uk-UA"/>
        </w:rPr>
        <w:t xml:space="preserve">Полтавський національний педагогічний університет </w:t>
      </w:r>
      <w:r>
        <w:rPr>
          <w:rFonts w:ascii="Cambria" w:hAnsi="Cambria"/>
          <w:sz w:val="24"/>
          <w:szCs w:val="24"/>
          <w:lang w:val="uk-UA"/>
        </w:rPr>
        <w:t>імені В. </w:t>
      </w:r>
      <w:r w:rsidRPr="0087510F">
        <w:rPr>
          <w:rFonts w:ascii="Cambria" w:hAnsi="Cambria"/>
          <w:sz w:val="24"/>
          <w:szCs w:val="24"/>
          <w:lang w:val="uk-UA"/>
        </w:rPr>
        <w:t>Г.</w:t>
      </w:r>
      <w:r>
        <w:rPr>
          <w:rFonts w:ascii="Cambria" w:hAnsi="Cambria"/>
          <w:sz w:val="24"/>
          <w:szCs w:val="24"/>
          <w:lang w:val="uk-UA"/>
        </w:rPr>
        <w:t> </w:t>
      </w:r>
      <w:r w:rsidRPr="0087510F">
        <w:rPr>
          <w:rFonts w:ascii="Cambria" w:hAnsi="Cambria"/>
          <w:sz w:val="24"/>
          <w:szCs w:val="24"/>
          <w:lang w:val="uk-UA"/>
        </w:rPr>
        <w:t>Короленка</w:t>
      </w:r>
    </w:p>
    <w:p w:rsidR="00CE31AB" w:rsidRPr="00695A9E" w:rsidRDefault="00CE31AB" w:rsidP="00CE31AB">
      <w:pPr>
        <w:jc w:val="center"/>
        <w:rPr>
          <w:rFonts w:ascii="Cambria" w:hAnsi="Cambria"/>
          <w:i/>
          <w:sz w:val="24"/>
          <w:szCs w:val="24"/>
          <w:lang w:val="uk-UA"/>
        </w:rPr>
      </w:pPr>
      <w:hyperlink r:id="rId5" w:history="1">
        <w:r w:rsidRPr="00695A9E">
          <w:rPr>
            <w:rStyle w:val="a3"/>
            <w:rFonts w:ascii="Cambria" w:hAnsi="Cambria"/>
            <w:i/>
            <w:sz w:val="24"/>
            <w:szCs w:val="24"/>
            <w:lang w:val="uk-UA"/>
          </w:rPr>
          <w:t>sinicasv@ukr.net</w:t>
        </w:r>
      </w:hyperlink>
    </w:p>
    <w:p w:rsidR="00CE31AB" w:rsidRPr="007E2F5F" w:rsidRDefault="00CE31AB" w:rsidP="00CE31AB">
      <w:pPr>
        <w:spacing w:line="235" w:lineRule="auto"/>
        <w:jc w:val="right"/>
        <w:rPr>
          <w:rFonts w:ascii="Cambria" w:hAnsi="Cambria"/>
          <w:i/>
          <w:spacing w:val="-4"/>
          <w:sz w:val="24"/>
          <w:szCs w:val="24"/>
          <w:lang w:val="uk-UA"/>
        </w:rPr>
      </w:pPr>
    </w:p>
    <w:p w:rsidR="00CE31AB" w:rsidRPr="007E2F5F" w:rsidRDefault="00CE31AB" w:rsidP="00CE31AB">
      <w:pPr>
        <w:spacing w:line="235" w:lineRule="auto"/>
        <w:ind w:firstLine="709"/>
        <w:jc w:val="both"/>
        <w:rPr>
          <w:rFonts w:ascii="Cambria" w:hAnsi="Cambria"/>
          <w:spacing w:val="-4"/>
          <w:sz w:val="28"/>
          <w:szCs w:val="28"/>
          <w:lang w:val="uk-UA"/>
        </w:rPr>
      </w:pPr>
      <w:r w:rsidRPr="007E2F5F">
        <w:rPr>
          <w:rFonts w:ascii="Cambria" w:hAnsi="Cambria"/>
          <w:spacing w:val="-4"/>
          <w:sz w:val="28"/>
          <w:szCs w:val="28"/>
          <w:lang w:val="uk-UA"/>
        </w:rPr>
        <w:t xml:space="preserve">Навчання в університеті </w:t>
      </w:r>
      <w:r w:rsidRPr="007E2F5F">
        <w:rPr>
          <w:rFonts w:ascii="Cambria" w:hAnsi="Cambria"/>
          <w:bCs/>
          <w:color w:val="000000"/>
          <w:spacing w:val="-4"/>
          <w:sz w:val="28"/>
          <w:szCs w:val="28"/>
          <w:lang w:val="uk-UA"/>
        </w:rPr>
        <w:t>є важливим етапом у становленні кваліфікованого фахівця та</w:t>
      </w:r>
      <w:r w:rsidRPr="007E2F5F">
        <w:rPr>
          <w:rFonts w:ascii="Cambria" w:hAnsi="Cambria"/>
          <w:spacing w:val="-4"/>
          <w:sz w:val="28"/>
          <w:szCs w:val="28"/>
          <w:lang w:val="uk-UA"/>
        </w:rPr>
        <w:t xml:space="preserve"> передбачає впровадження отриманих знань умінь та здібностей під час практичної діяльності [3]. Отримавши знання та уміння після навчання в університеті студенти повинні бути готовими до своєї професійної діяльності морально, фізично та психологічно [</w:t>
      </w:r>
      <w:r w:rsidRPr="007E2F5F">
        <w:rPr>
          <w:rFonts w:ascii="Cambria" w:hAnsi="Cambria"/>
          <w:color w:val="000000"/>
          <w:spacing w:val="-4"/>
          <w:sz w:val="28"/>
          <w:szCs w:val="28"/>
          <w:lang w:val="uk-UA"/>
        </w:rPr>
        <w:t>1</w:t>
      </w:r>
      <w:r w:rsidRPr="007E2F5F">
        <w:rPr>
          <w:rFonts w:ascii="Cambria" w:hAnsi="Cambria"/>
          <w:spacing w:val="-4"/>
          <w:sz w:val="28"/>
          <w:szCs w:val="28"/>
          <w:lang w:val="uk-UA"/>
        </w:rPr>
        <w:t xml:space="preserve">]. Так, майбутні фахівці з оздоровчої аеробіки повинні бути готовими до роботи у фітнес-клубі, спілкуватися з відвідувачами занять, різними за темпераментом, освітою, вихованням тощо. </w:t>
      </w:r>
    </w:p>
    <w:p w:rsidR="00CE31AB" w:rsidRPr="007E2F5F" w:rsidRDefault="00CE31AB" w:rsidP="00CE31AB">
      <w:pPr>
        <w:spacing w:line="235" w:lineRule="auto"/>
        <w:ind w:firstLine="709"/>
        <w:jc w:val="both"/>
        <w:rPr>
          <w:rFonts w:ascii="Cambria" w:hAnsi="Cambria"/>
          <w:spacing w:val="-4"/>
          <w:sz w:val="28"/>
          <w:szCs w:val="28"/>
          <w:lang w:val="uk-UA"/>
        </w:rPr>
      </w:pPr>
      <w:r w:rsidRPr="007E2F5F">
        <w:rPr>
          <w:rFonts w:ascii="Cambria" w:hAnsi="Cambria"/>
          <w:spacing w:val="-4"/>
          <w:sz w:val="28"/>
          <w:szCs w:val="28"/>
          <w:lang w:val="uk-UA"/>
        </w:rPr>
        <w:t>У процесі здійснення професійної діяльності, окрім якісного проведення групових та персональних занять оздоровчої аеробіки, фахівці під час першого знайомства мають володіти комунікативними здібностями для того щоб справити позитивне враження про себе та провести первинний інструктаж. Останній спрямований на інформування відвідувачів занять про техніку виконання рухів, спрямування окремих занять та отримання інформації про рівень їх фізичної підготовленості тощо [2].</w:t>
      </w:r>
    </w:p>
    <w:p w:rsidR="00CE31AB" w:rsidRPr="007E2F5F" w:rsidRDefault="00CE31AB" w:rsidP="00CE31AB">
      <w:pPr>
        <w:spacing w:line="235" w:lineRule="auto"/>
        <w:ind w:firstLine="567"/>
        <w:jc w:val="both"/>
        <w:rPr>
          <w:rFonts w:ascii="Cambria" w:hAnsi="Cambria"/>
          <w:spacing w:val="-4"/>
          <w:sz w:val="28"/>
          <w:szCs w:val="28"/>
          <w:lang w:val="uk-UA"/>
        </w:rPr>
      </w:pPr>
      <w:r w:rsidRPr="007E2F5F">
        <w:rPr>
          <w:rFonts w:ascii="Cambria" w:hAnsi="Cambria"/>
          <w:spacing w:val="-4"/>
          <w:sz w:val="28"/>
          <w:szCs w:val="28"/>
          <w:lang w:val="uk-UA"/>
        </w:rPr>
        <w:t>Структура проведення первинного інструктажу складається з: привітання та знайомства; обговорення бажаного результату, встановлення цілей і завдань для відвідувача оздоровчих занять; визначення спортивних чи оздоровчих вподобань того, хто займається; встановлення спортивного та фітнес досвіду; вивчення результатів лікарського (медико-біологічного) контролю (наявності травм та захворювань, показань чи протипоказань до занять, застосування лікарських або фітнес препаратів тощо); проведення інструктажу з техніки безпеки; проведення</w:t>
      </w:r>
      <w:r>
        <w:rPr>
          <w:rFonts w:ascii="Cambria" w:hAnsi="Cambria"/>
          <w:spacing w:val="-4"/>
          <w:sz w:val="28"/>
          <w:szCs w:val="28"/>
          <w:lang w:val="uk-UA"/>
        </w:rPr>
        <w:t xml:space="preserve"> </w:t>
      </w:r>
      <w:r w:rsidRPr="007E2F5F">
        <w:rPr>
          <w:rFonts w:ascii="Cambria" w:hAnsi="Cambria"/>
          <w:spacing w:val="-4"/>
          <w:sz w:val="28"/>
          <w:szCs w:val="28"/>
          <w:lang w:val="uk-UA"/>
        </w:rPr>
        <w:t xml:space="preserve">1-2 простіших фізіологічних (наприклад підрахунок ЧСС до навантаження та після 20 присідань за 30 с), функціональних тестів, або антропометричних вимірів за вибором; короткого опробування (для попереднього ознайомлення з рухами аеробіки) з тим, хто займається, деяких нескладних рухів основних видів оздоровчої аеробіки (класичної аеробіки, степ-аеробіки, </w:t>
      </w:r>
      <w:proofErr w:type="spellStart"/>
      <w:r w:rsidRPr="007E2F5F">
        <w:rPr>
          <w:rFonts w:ascii="Cambria" w:hAnsi="Cambria"/>
          <w:spacing w:val="-4"/>
          <w:sz w:val="28"/>
          <w:szCs w:val="28"/>
          <w:lang w:val="uk-UA"/>
        </w:rPr>
        <w:t>фітбол</w:t>
      </w:r>
      <w:proofErr w:type="spellEnd"/>
      <w:r w:rsidRPr="007E2F5F">
        <w:rPr>
          <w:rFonts w:ascii="Cambria" w:hAnsi="Cambria"/>
          <w:spacing w:val="-4"/>
          <w:sz w:val="28"/>
          <w:szCs w:val="28"/>
          <w:lang w:val="uk-UA"/>
        </w:rPr>
        <w:t xml:space="preserve">-аеробіки тощо) під музичний супровід; ознайомлення з основними командами та міжнародними жестами, які застосовуються в практиці оздоровчої аеробіки; ознайомлення зі </w:t>
      </w:r>
      <w:r w:rsidRPr="007E2F5F">
        <w:rPr>
          <w:rFonts w:ascii="Cambria" w:hAnsi="Cambria"/>
          <w:spacing w:val="-4"/>
          <w:sz w:val="28"/>
          <w:szCs w:val="28"/>
          <w:lang w:val="uk-UA"/>
        </w:rPr>
        <w:lastRenderedPageBreak/>
        <w:t>спеціальним обладнанням, що застосовується під час оздоровчих занять; ознайомлення з програмою і розкладом занять, надання рекомендацій щодо кількості занять на тиждень, місяць тощо; надання рекомендацій щодо застосування раціонального харчування (споживання води) в період тренувального процесу; надання рекомендацій щодо підбору одягу та взуття для занять оздоровчою аеробікою [2].</w:t>
      </w:r>
    </w:p>
    <w:p w:rsidR="00CE31AB" w:rsidRPr="007E2F5F" w:rsidRDefault="00CE31AB" w:rsidP="00CE31AB">
      <w:pPr>
        <w:shd w:val="clear" w:color="auto" w:fill="FFFFFF"/>
        <w:tabs>
          <w:tab w:val="left" w:pos="993"/>
        </w:tabs>
        <w:spacing w:line="235" w:lineRule="auto"/>
        <w:ind w:right="-1" w:firstLine="709"/>
        <w:jc w:val="both"/>
        <w:rPr>
          <w:rFonts w:ascii="Cambria" w:hAnsi="Cambria"/>
          <w:iCs/>
          <w:spacing w:val="-4"/>
          <w:sz w:val="28"/>
          <w:szCs w:val="28"/>
          <w:lang w:val="uk-UA"/>
        </w:rPr>
      </w:pPr>
      <w:r w:rsidRPr="007E2F5F">
        <w:rPr>
          <w:rFonts w:ascii="Cambria" w:hAnsi="Cambria"/>
          <w:iCs/>
          <w:spacing w:val="-4"/>
          <w:sz w:val="28"/>
          <w:szCs w:val="28"/>
          <w:lang w:val="uk-UA"/>
        </w:rPr>
        <w:t>Мета – встановити рівень комунікативних здібностей та психологічної готовності студенток до здійснення професійної діяльності.</w:t>
      </w:r>
    </w:p>
    <w:p w:rsidR="00CE31AB" w:rsidRPr="007E2F5F" w:rsidRDefault="00CE31AB" w:rsidP="00CE31AB">
      <w:pPr>
        <w:shd w:val="clear" w:color="auto" w:fill="FFFFFF"/>
        <w:tabs>
          <w:tab w:val="left" w:pos="993"/>
        </w:tabs>
        <w:spacing w:line="235" w:lineRule="auto"/>
        <w:ind w:right="-1" w:firstLine="709"/>
        <w:jc w:val="both"/>
        <w:rPr>
          <w:rFonts w:ascii="Cambria" w:hAnsi="Cambria"/>
          <w:spacing w:val="-4"/>
          <w:sz w:val="28"/>
          <w:szCs w:val="28"/>
          <w:lang w:val="uk-UA"/>
        </w:rPr>
      </w:pPr>
      <w:r w:rsidRPr="007E2F5F">
        <w:rPr>
          <w:rFonts w:ascii="Cambria" w:hAnsi="Cambria"/>
          <w:iCs/>
          <w:spacing w:val="-4"/>
          <w:sz w:val="28"/>
          <w:szCs w:val="28"/>
          <w:lang w:val="uk-UA"/>
        </w:rPr>
        <w:t xml:space="preserve">Дослідження проводилося наприкінці другого року навчання. </w:t>
      </w:r>
      <w:r w:rsidRPr="007E2F5F">
        <w:rPr>
          <w:rFonts w:ascii="Cambria" w:hAnsi="Cambria"/>
          <w:spacing w:val="-4"/>
          <w:sz w:val="28"/>
          <w:szCs w:val="28"/>
          <w:lang w:val="uk-UA"/>
        </w:rPr>
        <w:t xml:space="preserve">Студенткам було запропоновано бути присутніми під час проведення первинного інструктажу досвідченими фахівцями та надано спеціальний навчально-методичний матеріал з цього питання [2]. Зазначимо, що теми з розвитку комунікативних здібностей в обсязі 6 год. винесено на самостійне опрацювання студенток. </w:t>
      </w:r>
    </w:p>
    <w:p w:rsidR="00CE31AB" w:rsidRPr="007E2F5F" w:rsidRDefault="00CE31AB" w:rsidP="00CE31AB">
      <w:pPr>
        <w:shd w:val="clear" w:color="auto" w:fill="FFFFFF"/>
        <w:tabs>
          <w:tab w:val="left" w:pos="993"/>
        </w:tabs>
        <w:spacing w:line="235" w:lineRule="auto"/>
        <w:ind w:right="-1" w:firstLine="709"/>
        <w:jc w:val="both"/>
        <w:rPr>
          <w:rFonts w:ascii="Cambria" w:hAnsi="Cambria"/>
          <w:iCs/>
          <w:spacing w:val="-4"/>
          <w:sz w:val="28"/>
          <w:szCs w:val="28"/>
          <w:lang w:val="uk-UA"/>
        </w:rPr>
      </w:pPr>
      <w:r w:rsidRPr="007E2F5F">
        <w:rPr>
          <w:rFonts w:ascii="Cambria" w:hAnsi="Cambria"/>
          <w:iCs/>
          <w:spacing w:val="-4"/>
          <w:sz w:val="28"/>
          <w:szCs w:val="28"/>
          <w:lang w:val="uk-UA"/>
        </w:rPr>
        <w:t>Кожна студентка проводила первинний інструктаж тривалістю від 30 до 60 хвилин. Групу тих, з ким проводили інструктаж, складали студентки, які не належали до експериментальної групи. Їх попередньо підготували і кожній роздали завдання, спрямоване на створення нестандартної педагогічної ситуації під час проходження первинного інструктажу. Наприклад, дозволяли собі виявити незадоволення з приводу запропонованої програми занять, поставити під сумнів компетентність фахівця з будь-якого питання тощо.</w:t>
      </w:r>
    </w:p>
    <w:p w:rsidR="00CE31AB" w:rsidRPr="007E2F5F" w:rsidRDefault="00CE31AB" w:rsidP="00CE31AB">
      <w:pPr>
        <w:shd w:val="clear" w:color="auto" w:fill="FFFFFF"/>
        <w:tabs>
          <w:tab w:val="left" w:pos="993"/>
        </w:tabs>
        <w:spacing w:line="235" w:lineRule="auto"/>
        <w:ind w:right="-1" w:firstLine="709"/>
        <w:jc w:val="both"/>
        <w:rPr>
          <w:rFonts w:ascii="Cambria" w:hAnsi="Cambria"/>
          <w:iCs/>
          <w:spacing w:val="-4"/>
          <w:sz w:val="28"/>
          <w:szCs w:val="28"/>
          <w:lang w:val="uk-UA"/>
        </w:rPr>
      </w:pPr>
      <w:r w:rsidRPr="007E2F5F">
        <w:rPr>
          <w:rFonts w:ascii="Cambria" w:hAnsi="Cambria"/>
          <w:iCs/>
          <w:spacing w:val="-4"/>
          <w:sz w:val="28"/>
          <w:szCs w:val="28"/>
          <w:lang w:val="uk-UA"/>
        </w:rPr>
        <w:t>Наприкінці первинного інструктажу кожній студентці експерти запропоновували розв’язати декілька педагогічних ситуацій. З урахуванням їхньої розв’язки, оцінили психологічну підготовленість студенток ЕГ та КГ до практичної діяльності (</w:t>
      </w:r>
      <w:r w:rsidRPr="007E2F5F">
        <w:rPr>
          <w:rFonts w:ascii="Cambria" w:hAnsi="Cambria"/>
          <w:i/>
          <w:iCs/>
          <w:spacing w:val="-4"/>
          <w:sz w:val="28"/>
          <w:szCs w:val="28"/>
          <w:lang w:val="uk-UA"/>
        </w:rPr>
        <w:t>табл. 1</w:t>
      </w:r>
      <w:r w:rsidRPr="007E2F5F">
        <w:rPr>
          <w:rFonts w:ascii="Cambria" w:hAnsi="Cambria"/>
          <w:iCs/>
          <w:spacing w:val="-4"/>
          <w:sz w:val="28"/>
          <w:szCs w:val="28"/>
          <w:lang w:val="uk-UA"/>
        </w:rPr>
        <w:t>).</w:t>
      </w:r>
    </w:p>
    <w:p w:rsidR="00CE31AB" w:rsidRPr="00695A9E" w:rsidRDefault="00CE31AB" w:rsidP="00CE31AB">
      <w:pPr>
        <w:spacing w:before="120" w:after="120"/>
        <w:jc w:val="center"/>
        <w:rPr>
          <w:rFonts w:ascii="Cambria" w:hAnsi="Cambria"/>
          <w:sz w:val="28"/>
          <w:szCs w:val="28"/>
          <w:lang w:val="uk-UA"/>
        </w:rPr>
      </w:pPr>
      <w:r w:rsidRPr="0087510F">
        <w:rPr>
          <w:rFonts w:ascii="Cambria" w:hAnsi="Cambria"/>
          <w:i/>
          <w:sz w:val="28"/>
          <w:szCs w:val="28"/>
          <w:lang w:val="uk-UA"/>
        </w:rPr>
        <w:t>Таблиця 1</w:t>
      </w:r>
      <w:r>
        <w:rPr>
          <w:rFonts w:ascii="Cambria" w:hAnsi="Cambria"/>
          <w:sz w:val="28"/>
          <w:szCs w:val="28"/>
          <w:lang w:val="uk-UA"/>
        </w:rPr>
        <w:t xml:space="preserve"> – </w:t>
      </w:r>
      <w:r w:rsidRPr="00695A9E">
        <w:rPr>
          <w:rFonts w:ascii="Cambria" w:hAnsi="Cambria"/>
          <w:sz w:val="28"/>
          <w:szCs w:val="28"/>
          <w:lang w:val="uk-UA"/>
        </w:rPr>
        <w:t>Показники рівня проведення первинного інструктажу студентками</w:t>
      </w:r>
      <w:r>
        <w:rPr>
          <w:rFonts w:ascii="Cambria" w:hAnsi="Cambria"/>
          <w:sz w:val="28"/>
          <w:szCs w:val="28"/>
          <w:lang w:val="uk-UA"/>
        </w:rPr>
        <w:t xml:space="preserve"> </w:t>
      </w:r>
      <w:r w:rsidRPr="00695A9E">
        <w:rPr>
          <w:rFonts w:ascii="Cambria" w:hAnsi="Cambria"/>
          <w:sz w:val="28"/>
          <w:szCs w:val="28"/>
          <w:lang w:val="uk-UA"/>
        </w:rPr>
        <w:t>за результатами методу експертних оцінок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7476"/>
        <w:gridCol w:w="1308"/>
      </w:tblGrid>
      <w:tr w:rsidR="00CE31AB" w:rsidRPr="0087510F" w:rsidTr="007B27C3">
        <w:trPr>
          <w:trHeight w:val="45"/>
        </w:trPr>
        <w:tc>
          <w:tcPr>
            <w:tcW w:w="300" w:type="pct"/>
            <w:vAlign w:val="center"/>
          </w:tcPr>
          <w:p w:rsidR="00CE31AB" w:rsidRPr="0087510F" w:rsidRDefault="00CE31AB" w:rsidP="007B27C3">
            <w:pPr>
              <w:ind w:left="-142" w:right="-143"/>
              <w:contextualSpacing/>
              <w:jc w:val="center"/>
              <w:rPr>
                <w:rFonts w:ascii="Cambria" w:hAnsi="Cambria"/>
                <w:b/>
                <w:bCs/>
                <w:sz w:val="24"/>
                <w:szCs w:val="24"/>
                <w:lang w:val="uk-UA"/>
              </w:rPr>
            </w:pPr>
            <w:r w:rsidRPr="0087510F">
              <w:rPr>
                <w:rFonts w:ascii="Cambria" w:hAnsi="Cambria"/>
                <w:b/>
                <w:bCs/>
                <w:sz w:val="24"/>
                <w:szCs w:val="24"/>
                <w:lang w:val="uk-UA"/>
              </w:rPr>
              <w:t>№ з/п</w:t>
            </w:r>
          </w:p>
        </w:tc>
        <w:tc>
          <w:tcPr>
            <w:tcW w:w="4000" w:type="pct"/>
            <w:vAlign w:val="center"/>
          </w:tcPr>
          <w:p w:rsidR="00CE31AB" w:rsidRPr="0087510F" w:rsidRDefault="00CE31AB" w:rsidP="007B27C3">
            <w:pPr>
              <w:ind w:right="-143"/>
              <w:contextualSpacing/>
              <w:jc w:val="center"/>
              <w:rPr>
                <w:rFonts w:ascii="Cambria" w:hAnsi="Cambria"/>
                <w:b/>
                <w:bCs/>
                <w:sz w:val="24"/>
                <w:szCs w:val="24"/>
                <w:lang w:val="uk-UA"/>
              </w:rPr>
            </w:pPr>
            <w:r w:rsidRPr="0087510F">
              <w:rPr>
                <w:rFonts w:ascii="Cambria" w:hAnsi="Cambria"/>
                <w:b/>
                <w:bCs/>
                <w:sz w:val="24"/>
                <w:szCs w:val="24"/>
                <w:lang w:val="uk-UA"/>
              </w:rPr>
              <w:t>Критерій</w:t>
            </w:r>
          </w:p>
        </w:tc>
        <w:tc>
          <w:tcPr>
            <w:tcW w:w="700" w:type="pct"/>
            <w:vAlign w:val="center"/>
          </w:tcPr>
          <w:p w:rsidR="00CE31AB" w:rsidRPr="0087510F" w:rsidRDefault="00CE31AB" w:rsidP="007B27C3">
            <w:pPr>
              <w:ind w:left="-108" w:right="-143"/>
              <w:contextualSpacing/>
              <w:jc w:val="center"/>
              <w:rPr>
                <w:rFonts w:ascii="Cambria" w:hAnsi="Cambria"/>
                <w:b/>
                <w:bCs/>
                <w:sz w:val="24"/>
                <w:szCs w:val="24"/>
                <w:lang w:val="uk-UA"/>
              </w:rPr>
            </w:pPr>
            <w:r w:rsidRPr="0087510F">
              <w:rPr>
                <w:rFonts w:ascii="Cambria" w:hAnsi="Cambria"/>
                <w:b/>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491490</wp:posOffset>
                      </wp:positionH>
                      <wp:positionV relativeFrom="paragraph">
                        <wp:posOffset>237489</wp:posOffset>
                      </wp:positionV>
                      <wp:extent cx="82550" cy="0"/>
                      <wp:effectExtent l="0" t="0" r="317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8868A" id="_x0000_t32" coordsize="21600,21600" o:spt="32" o:oned="t" path="m,l21600,21600e" filled="f">
                      <v:path arrowok="t" fillok="f" o:connecttype="none"/>
                      <o:lock v:ext="edit" shapetype="t"/>
                    </v:shapetype>
                    <v:shape id="Прямая со стрелкой 2" o:spid="_x0000_s1026" type="#_x0000_t32" style="position:absolute;margin-left:38.7pt;margin-top:18.7pt;width: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"/>
                  </w:pict>
                </mc:Fallback>
              </mc:AlternateContent>
            </w:r>
            <w:r w:rsidRPr="0087510F">
              <w:rPr>
                <w:rFonts w:ascii="Cambria" w:hAnsi="Cambria"/>
                <w:b/>
                <w:bCs/>
                <w:sz w:val="24"/>
                <w:szCs w:val="24"/>
                <w:lang w:val="uk-UA"/>
              </w:rPr>
              <w:t>Середній бал, х</w:t>
            </w:r>
          </w:p>
        </w:tc>
      </w:tr>
      <w:tr w:rsidR="00CE31AB" w:rsidRPr="0087510F" w:rsidTr="007B27C3">
        <w:trPr>
          <w:trHeight w:val="45"/>
        </w:trPr>
        <w:tc>
          <w:tcPr>
            <w:tcW w:w="300" w:type="pct"/>
            <w:tcBorders>
              <w:bottom w:val="single" w:sz="4" w:space="0" w:color="auto"/>
            </w:tcBorders>
          </w:tcPr>
          <w:p w:rsidR="00CE31AB" w:rsidRPr="0087510F" w:rsidRDefault="00CE31AB" w:rsidP="007B27C3">
            <w:pPr>
              <w:ind w:left="-142" w:right="-143"/>
              <w:contextualSpacing/>
              <w:jc w:val="center"/>
              <w:rPr>
                <w:rFonts w:ascii="Cambria" w:hAnsi="Cambria"/>
                <w:bCs/>
                <w:sz w:val="24"/>
                <w:szCs w:val="24"/>
                <w:lang w:val="uk-UA"/>
              </w:rPr>
            </w:pPr>
            <w:r w:rsidRPr="0087510F">
              <w:rPr>
                <w:rFonts w:ascii="Cambria" w:hAnsi="Cambria"/>
                <w:bCs/>
                <w:sz w:val="24"/>
                <w:szCs w:val="24"/>
                <w:lang w:val="uk-UA"/>
              </w:rPr>
              <w:t>1</w:t>
            </w:r>
          </w:p>
        </w:tc>
        <w:tc>
          <w:tcPr>
            <w:tcW w:w="4000" w:type="pct"/>
            <w:tcBorders>
              <w:bottom w:val="single" w:sz="4" w:space="0" w:color="auto"/>
            </w:tcBorders>
          </w:tcPr>
          <w:p w:rsidR="00CE31AB" w:rsidRPr="0087510F" w:rsidRDefault="00CE31AB" w:rsidP="007B27C3">
            <w:pPr>
              <w:tabs>
                <w:tab w:val="left" w:pos="3240"/>
              </w:tabs>
              <w:ind w:right="-143"/>
              <w:contextualSpacing/>
              <w:rPr>
                <w:rFonts w:ascii="Cambria" w:hAnsi="Cambria"/>
                <w:bCs/>
                <w:sz w:val="24"/>
                <w:szCs w:val="24"/>
                <w:lang w:val="uk-UA"/>
              </w:rPr>
            </w:pPr>
            <w:r w:rsidRPr="0087510F">
              <w:rPr>
                <w:rFonts w:ascii="Cambria" w:hAnsi="Cambria"/>
                <w:sz w:val="24"/>
                <w:szCs w:val="24"/>
                <w:lang w:val="uk-UA"/>
              </w:rPr>
              <w:t>Культура спілкування</w:t>
            </w:r>
          </w:p>
        </w:tc>
        <w:tc>
          <w:tcPr>
            <w:tcW w:w="700" w:type="pct"/>
            <w:tcBorders>
              <w:bottom w:val="single" w:sz="4" w:space="0" w:color="auto"/>
            </w:tcBorders>
            <w:vAlign w:val="center"/>
          </w:tcPr>
          <w:p w:rsidR="00CE31AB" w:rsidRPr="0087510F" w:rsidRDefault="00CE31AB" w:rsidP="007B27C3">
            <w:pPr>
              <w:ind w:left="-108" w:right="-143"/>
              <w:contextualSpacing/>
              <w:jc w:val="center"/>
              <w:rPr>
                <w:rFonts w:ascii="Cambria" w:hAnsi="Cambria"/>
                <w:bCs/>
                <w:sz w:val="24"/>
                <w:szCs w:val="24"/>
                <w:lang w:val="uk-UA"/>
              </w:rPr>
            </w:pPr>
            <w:r w:rsidRPr="0087510F">
              <w:rPr>
                <w:rFonts w:ascii="Cambria" w:hAnsi="Cambria"/>
                <w:bCs/>
                <w:sz w:val="24"/>
                <w:szCs w:val="24"/>
                <w:lang w:val="uk-UA"/>
              </w:rPr>
              <w:t>4,7</w:t>
            </w:r>
          </w:p>
        </w:tc>
      </w:tr>
      <w:tr w:rsidR="00CE31AB" w:rsidRPr="0087510F" w:rsidTr="007B27C3">
        <w:trPr>
          <w:trHeight w:val="45"/>
        </w:trPr>
        <w:tc>
          <w:tcPr>
            <w:tcW w:w="300" w:type="pct"/>
            <w:tcBorders>
              <w:top w:val="single" w:sz="4" w:space="0" w:color="auto"/>
              <w:bottom w:val="single" w:sz="4" w:space="0" w:color="auto"/>
            </w:tcBorders>
          </w:tcPr>
          <w:p w:rsidR="00CE31AB" w:rsidRPr="0087510F" w:rsidRDefault="00CE31AB" w:rsidP="007B27C3">
            <w:pPr>
              <w:ind w:left="-142" w:right="-143"/>
              <w:contextualSpacing/>
              <w:jc w:val="center"/>
              <w:rPr>
                <w:rFonts w:ascii="Cambria" w:hAnsi="Cambria"/>
                <w:bCs/>
                <w:sz w:val="24"/>
                <w:szCs w:val="24"/>
                <w:lang w:val="uk-UA"/>
              </w:rPr>
            </w:pPr>
            <w:r w:rsidRPr="0087510F">
              <w:rPr>
                <w:rFonts w:ascii="Cambria" w:hAnsi="Cambria"/>
                <w:bCs/>
                <w:sz w:val="24"/>
                <w:szCs w:val="24"/>
                <w:lang w:val="uk-UA"/>
              </w:rPr>
              <w:t>2</w:t>
            </w:r>
          </w:p>
        </w:tc>
        <w:tc>
          <w:tcPr>
            <w:tcW w:w="4000" w:type="pct"/>
            <w:tcBorders>
              <w:top w:val="single" w:sz="4" w:space="0" w:color="auto"/>
              <w:bottom w:val="single" w:sz="4" w:space="0" w:color="auto"/>
            </w:tcBorders>
          </w:tcPr>
          <w:p w:rsidR="00CE31AB" w:rsidRPr="0087510F" w:rsidRDefault="00CE31AB" w:rsidP="007B27C3">
            <w:pPr>
              <w:contextualSpacing/>
              <w:rPr>
                <w:rFonts w:ascii="Cambria" w:hAnsi="Cambria"/>
                <w:bCs/>
                <w:sz w:val="24"/>
                <w:szCs w:val="24"/>
                <w:lang w:val="uk-UA"/>
              </w:rPr>
            </w:pPr>
            <w:r w:rsidRPr="0087510F">
              <w:rPr>
                <w:rFonts w:ascii="Cambria" w:hAnsi="Cambria"/>
                <w:bCs/>
                <w:sz w:val="24"/>
                <w:szCs w:val="24"/>
                <w:lang w:val="uk-UA"/>
              </w:rPr>
              <w:t>Етикет</w:t>
            </w:r>
          </w:p>
        </w:tc>
        <w:tc>
          <w:tcPr>
            <w:tcW w:w="700" w:type="pct"/>
            <w:tcBorders>
              <w:top w:val="single" w:sz="4" w:space="0" w:color="auto"/>
              <w:bottom w:val="single" w:sz="4" w:space="0" w:color="auto"/>
            </w:tcBorders>
            <w:vAlign w:val="center"/>
          </w:tcPr>
          <w:p w:rsidR="00CE31AB" w:rsidRPr="0087510F" w:rsidRDefault="00CE31AB" w:rsidP="007B27C3">
            <w:pPr>
              <w:ind w:left="-108" w:right="-143"/>
              <w:contextualSpacing/>
              <w:jc w:val="center"/>
              <w:rPr>
                <w:rFonts w:ascii="Cambria" w:hAnsi="Cambria"/>
                <w:bCs/>
                <w:sz w:val="24"/>
                <w:szCs w:val="24"/>
                <w:lang w:val="uk-UA"/>
              </w:rPr>
            </w:pPr>
            <w:r w:rsidRPr="0087510F">
              <w:rPr>
                <w:rFonts w:ascii="Cambria" w:hAnsi="Cambria"/>
                <w:bCs/>
                <w:sz w:val="24"/>
                <w:szCs w:val="24"/>
                <w:lang w:val="uk-UA"/>
              </w:rPr>
              <w:t>4,7</w:t>
            </w:r>
          </w:p>
        </w:tc>
      </w:tr>
      <w:tr w:rsidR="00CE31AB" w:rsidRPr="0087510F" w:rsidTr="007B27C3">
        <w:trPr>
          <w:trHeight w:val="185"/>
        </w:trPr>
        <w:tc>
          <w:tcPr>
            <w:tcW w:w="300" w:type="pct"/>
            <w:tcBorders>
              <w:top w:val="single" w:sz="4" w:space="0" w:color="auto"/>
            </w:tcBorders>
          </w:tcPr>
          <w:p w:rsidR="00CE31AB" w:rsidRPr="0087510F" w:rsidRDefault="00CE31AB" w:rsidP="007B27C3">
            <w:pPr>
              <w:ind w:left="-142" w:right="-143"/>
              <w:contextualSpacing/>
              <w:jc w:val="center"/>
              <w:rPr>
                <w:rFonts w:ascii="Cambria" w:hAnsi="Cambria"/>
                <w:bCs/>
                <w:sz w:val="24"/>
                <w:szCs w:val="24"/>
                <w:lang w:val="uk-UA"/>
              </w:rPr>
            </w:pPr>
            <w:r w:rsidRPr="0087510F">
              <w:rPr>
                <w:rFonts w:ascii="Cambria" w:hAnsi="Cambria"/>
                <w:bCs/>
                <w:sz w:val="24"/>
                <w:szCs w:val="24"/>
                <w:lang w:val="uk-UA"/>
              </w:rPr>
              <w:t>3</w:t>
            </w:r>
          </w:p>
        </w:tc>
        <w:tc>
          <w:tcPr>
            <w:tcW w:w="4000" w:type="pct"/>
            <w:tcBorders>
              <w:top w:val="single" w:sz="4" w:space="0" w:color="auto"/>
            </w:tcBorders>
          </w:tcPr>
          <w:p w:rsidR="00CE31AB" w:rsidRPr="0087510F" w:rsidRDefault="00CE31AB" w:rsidP="007B27C3">
            <w:pPr>
              <w:ind w:right="-66"/>
              <w:contextualSpacing/>
              <w:rPr>
                <w:rFonts w:ascii="Cambria" w:hAnsi="Cambria"/>
                <w:sz w:val="24"/>
                <w:szCs w:val="24"/>
                <w:lang w:val="uk-UA"/>
              </w:rPr>
            </w:pPr>
            <w:r w:rsidRPr="0087510F">
              <w:rPr>
                <w:rFonts w:ascii="Cambria" w:hAnsi="Cambria"/>
                <w:sz w:val="24"/>
                <w:szCs w:val="24"/>
                <w:lang w:val="uk-UA"/>
              </w:rPr>
              <w:t xml:space="preserve">Вміння визначати </w:t>
            </w:r>
            <w:proofErr w:type="spellStart"/>
            <w:r w:rsidRPr="0087510F">
              <w:rPr>
                <w:rFonts w:ascii="Cambria" w:hAnsi="Cambria"/>
                <w:sz w:val="24"/>
                <w:szCs w:val="24"/>
                <w:lang w:val="uk-UA"/>
              </w:rPr>
              <w:t>морфо</w:t>
            </w:r>
            <w:proofErr w:type="spellEnd"/>
            <w:r w:rsidRPr="0087510F">
              <w:rPr>
                <w:rFonts w:ascii="Cambria" w:hAnsi="Cambria"/>
                <w:sz w:val="24"/>
                <w:szCs w:val="24"/>
                <w:lang w:val="uk-UA"/>
              </w:rPr>
              <w:t>-функціональні особливості тіла людини та проводити тестування фізичних якостей</w:t>
            </w:r>
          </w:p>
        </w:tc>
        <w:tc>
          <w:tcPr>
            <w:tcW w:w="700" w:type="pct"/>
            <w:tcBorders>
              <w:top w:val="single" w:sz="4" w:space="0" w:color="auto"/>
            </w:tcBorders>
            <w:vAlign w:val="center"/>
          </w:tcPr>
          <w:p w:rsidR="00CE31AB" w:rsidRPr="0087510F" w:rsidRDefault="00CE31AB" w:rsidP="007B27C3">
            <w:pPr>
              <w:ind w:left="-108" w:right="-143"/>
              <w:contextualSpacing/>
              <w:jc w:val="center"/>
              <w:rPr>
                <w:rFonts w:ascii="Cambria" w:hAnsi="Cambria"/>
                <w:bCs/>
                <w:sz w:val="24"/>
                <w:szCs w:val="24"/>
                <w:lang w:val="uk-UA"/>
              </w:rPr>
            </w:pPr>
            <w:r w:rsidRPr="0087510F">
              <w:rPr>
                <w:rFonts w:ascii="Cambria" w:hAnsi="Cambria"/>
                <w:bCs/>
                <w:sz w:val="24"/>
                <w:szCs w:val="24"/>
                <w:lang w:val="uk-UA"/>
              </w:rPr>
              <w:t>4,6</w:t>
            </w:r>
          </w:p>
        </w:tc>
      </w:tr>
      <w:tr w:rsidR="00CE31AB" w:rsidRPr="0087510F" w:rsidTr="007B27C3">
        <w:trPr>
          <w:trHeight w:val="295"/>
        </w:trPr>
        <w:tc>
          <w:tcPr>
            <w:tcW w:w="300" w:type="pct"/>
          </w:tcPr>
          <w:p w:rsidR="00CE31AB" w:rsidRPr="0087510F" w:rsidRDefault="00CE31AB" w:rsidP="007B27C3">
            <w:pPr>
              <w:ind w:left="-142" w:right="-143"/>
              <w:contextualSpacing/>
              <w:jc w:val="center"/>
              <w:rPr>
                <w:rFonts w:ascii="Cambria" w:hAnsi="Cambria"/>
                <w:bCs/>
                <w:sz w:val="24"/>
                <w:szCs w:val="24"/>
                <w:lang w:val="uk-UA"/>
              </w:rPr>
            </w:pPr>
            <w:r w:rsidRPr="0087510F">
              <w:rPr>
                <w:rFonts w:ascii="Cambria" w:hAnsi="Cambria"/>
                <w:bCs/>
                <w:sz w:val="24"/>
                <w:szCs w:val="24"/>
                <w:lang w:val="uk-UA"/>
              </w:rPr>
              <w:t>4</w:t>
            </w:r>
          </w:p>
        </w:tc>
        <w:tc>
          <w:tcPr>
            <w:tcW w:w="4000" w:type="pct"/>
          </w:tcPr>
          <w:p w:rsidR="00CE31AB" w:rsidRPr="0087510F" w:rsidRDefault="00CE31AB" w:rsidP="007B27C3">
            <w:pPr>
              <w:ind w:right="-108"/>
              <w:contextualSpacing/>
              <w:rPr>
                <w:rFonts w:ascii="Cambria" w:hAnsi="Cambria"/>
                <w:bCs/>
                <w:sz w:val="24"/>
                <w:szCs w:val="24"/>
                <w:lang w:val="uk-UA"/>
              </w:rPr>
            </w:pPr>
            <w:r w:rsidRPr="0087510F">
              <w:rPr>
                <w:rFonts w:ascii="Cambria" w:hAnsi="Cambria"/>
                <w:bCs/>
                <w:sz w:val="24"/>
                <w:szCs w:val="24"/>
                <w:lang w:val="uk-UA"/>
              </w:rPr>
              <w:t>Методична підготовленість майбутнього фахівця</w:t>
            </w:r>
          </w:p>
        </w:tc>
        <w:tc>
          <w:tcPr>
            <w:tcW w:w="700" w:type="pct"/>
            <w:vAlign w:val="center"/>
          </w:tcPr>
          <w:p w:rsidR="00CE31AB" w:rsidRPr="0087510F" w:rsidRDefault="00CE31AB" w:rsidP="007B27C3">
            <w:pPr>
              <w:ind w:left="-108" w:right="-143"/>
              <w:contextualSpacing/>
              <w:jc w:val="center"/>
              <w:rPr>
                <w:rFonts w:ascii="Cambria" w:hAnsi="Cambria"/>
                <w:bCs/>
                <w:sz w:val="24"/>
                <w:szCs w:val="24"/>
                <w:lang w:val="uk-UA"/>
              </w:rPr>
            </w:pPr>
            <w:r w:rsidRPr="0087510F">
              <w:rPr>
                <w:rFonts w:ascii="Cambria" w:hAnsi="Cambria"/>
                <w:bCs/>
                <w:sz w:val="24"/>
                <w:szCs w:val="24"/>
                <w:lang w:val="uk-UA"/>
              </w:rPr>
              <w:t>4,7</w:t>
            </w:r>
          </w:p>
        </w:tc>
      </w:tr>
      <w:tr w:rsidR="00CE31AB" w:rsidRPr="0087510F" w:rsidTr="007B27C3">
        <w:trPr>
          <w:trHeight w:val="45"/>
        </w:trPr>
        <w:tc>
          <w:tcPr>
            <w:tcW w:w="300" w:type="pct"/>
            <w:tcBorders>
              <w:bottom w:val="single" w:sz="4" w:space="0" w:color="auto"/>
            </w:tcBorders>
          </w:tcPr>
          <w:p w:rsidR="00CE31AB" w:rsidRPr="0087510F" w:rsidRDefault="00CE31AB" w:rsidP="007B27C3">
            <w:pPr>
              <w:ind w:left="-142" w:right="-143"/>
              <w:contextualSpacing/>
              <w:jc w:val="center"/>
              <w:rPr>
                <w:rFonts w:ascii="Cambria" w:hAnsi="Cambria"/>
                <w:bCs/>
                <w:sz w:val="24"/>
                <w:szCs w:val="24"/>
                <w:lang w:val="uk-UA"/>
              </w:rPr>
            </w:pPr>
            <w:r w:rsidRPr="0087510F">
              <w:rPr>
                <w:rFonts w:ascii="Cambria" w:hAnsi="Cambria"/>
                <w:bCs/>
                <w:sz w:val="24"/>
                <w:szCs w:val="24"/>
                <w:lang w:val="uk-UA"/>
              </w:rPr>
              <w:t>5</w:t>
            </w:r>
          </w:p>
        </w:tc>
        <w:tc>
          <w:tcPr>
            <w:tcW w:w="4000" w:type="pct"/>
            <w:tcBorders>
              <w:bottom w:val="single" w:sz="4" w:space="0" w:color="auto"/>
            </w:tcBorders>
          </w:tcPr>
          <w:p w:rsidR="00CE31AB" w:rsidRPr="0087510F" w:rsidRDefault="00CE31AB" w:rsidP="007B27C3">
            <w:pPr>
              <w:ind w:left="35" w:right="-111"/>
              <w:contextualSpacing/>
              <w:rPr>
                <w:rFonts w:ascii="Cambria" w:hAnsi="Cambria"/>
                <w:bCs/>
                <w:sz w:val="24"/>
                <w:szCs w:val="24"/>
                <w:lang w:val="uk-UA"/>
              </w:rPr>
            </w:pPr>
            <w:r w:rsidRPr="0087510F">
              <w:rPr>
                <w:rFonts w:ascii="Cambria" w:hAnsi="Cambria"/>
                <w:bCs/>
                <w:sz w:val="24"/>
                <w:szCs w:val="24"/>
                <w:lang w:val="uk-UA"/>
              </w:rPr>
              <w:t>Організаційна підготовленість майбутнього фахівця</w:t>
            </w:r>
          </w:p>
        </w:tc>
        <w:tc>
          <w:tcPr>
            <w:tcW w:w="700" w:type="pct"/>
            <w:tcBorders>
              <w:bottom w:val="single" w:sz="4" w:space="0" w:color="auto"/>
            </w:tcBorders>
            <w:vAlign w:val="center"/>
          </w:tcPr>
          <w:p w:rsidR="00CE31AB" w:rsidRPr="0087510F" w:rsidRDefault="00CE31AB" w:rsidP="007B27C3">
            <w:pPr>
              <w:ind w:left="-108" w:right="-143"/>
              <w:contextualSpacing/>
              <w:jc w:val="center"/>
              <w:rPr>
                <w:rFonts w:ascii="Cambria" w:hAnsi="Cambria"/>
                <w:bCs/>
                <w:sz w:val="24"/>
                <w:szCs w:val="24"/>
                <w:lang w:val="uk-UA"/>
              </w:rPr>
            </w:pPr>
            <w:r w:rsidRPr="0087510F">
              <w:rPr>
                <w:rFonts w:ascii="Cambria" w:hAnsi="Cambria"/>
                <w:bCs/>
                <w:sz w:val="24"/>
                <w:szCs w:val="24"/>
                <w:lang w:val="uk-UA"/>
              </w:rPr>
              <w:t>4,7</w:t>
            </w:r>
          </w:p>
        </w:tc>
      </w:tr>
      <w:tr w:rsidR="00CE31AB" w:rsidRPr="0087510F" w:rsidTr="007B27C3">
        <w:trPr>
          <w:trHeight w:val="273"/>
        </w:trPr>
        <w:tc>
          <w:tcPr>
            <w:tcW w:w="300" w:type="pct"/>
            <w:tcBorders>
              <w:top w:val="single" w:sz="4" w:space="0" w:color="auto"/>
            </w:tcBorders>
          </w:tcPr>
          <w:p w:rsidR="00CE31AB" w:rsidRPr="0087510F" w:rsidRDefault="00CE31AB" w:rsidP="007B27C3">
            <w:pPr>
              <w:ind w:left="-142" w:right="-143"/>
              <w:contextualSpacing/>
              <w:jc w:val="center"/>
              <w:rPr>
                <w:rFonts w:ascii="Cambria" w:hAnsi="Cambria"/>
                <w:bCs/>
                <w:sz w:val="24"/>
                <w:szCs w:val="24"/>
                <w:lang w:val="uk-UA"/>
              </w:rPr>
            </w:pPr>
            <w:r w:rsidRPr="0087510F">
              <w:rPr>
                <w:rFonts w:ascii="Cambria" w:hAnsi="Cambria"/>
                <w:bCs/>
                <w:sz w:val="24"/>
                <w:szCs w:val="24"/>
                <w:lang w:val="uk-UA"/>
              </w:rPr>
              <w:t>6</w:t>
            </w:r>
          </w:p>
        </w:tc>
        <w:tc>
          <w:tcPr>
            <w:tcW w:w="4000" w:type="pct"/>
            <w:tcBorders>
              <w:top w:val="single" w:sz="4" w:space="0" w:color="auto"/>
            </w:tcBorders>
          </w:tcPr>
          <w:p w:rsidR="00CE31AB" w:rsidRPr="0087510F" w:rsidRDefault="00CE31AB" w:rsidP="007B27C3">
            <w:pPr>
              <w:contextualSpacing/>
              <w:rPr>
                <w:rFonts w:ascii="Cambria" w:hAnsi="Cambria"/>
                <w:bCs/>
                <w:sz w:val="24"/>
                <w:szCs w:val="24"/>
                <w:lang w:val="uk-UA"/>
              </w:rPr>
            </w:pPr>
            <w:r w:rsidRPr="0087510F">
              <w:rPr>
                <w:rFonts w:ascii="Cambria" w:hAnsi="Cambria"/>
                <w:bCs/>
                <w:sz w:val="24"/>
                <w:szCs w:val="24"/>
                <w:lang w:val="uk-UA"/>
              </w:rPr>
              <w:t>Психологічна підготовленість майбутнього фахівця до розв’язання педагогічних ситуацій під час первинного інструктажу та за завданням експертів</w:t>
            </w:r>
          </w:p>
        </w:tc>
        <w:tc>
          <w:tcPr>
            <w:tcW w:w="700" w:type="pct"/>
            <w:tcBorders>
              <w:top w:val="single" w:sz="4" w:space="0" w:color="auto"/>
            </w:tcBorders>
            <w:vAlign w:val="center"/>
          </w:tcPr>
          <w:p w:rsidR="00CE31AB" w:rsidRPr="0087510F" w:rsidRDefault="00CE31AB" w:rsidP="007B27C3">
            <w:pPr>
              <w:ind w:left="-108" w:right="-143"/>
              <w:contextualSpacing/>
              <w:jc w:val="center"/>
              <w:rPr>
                <w:rFonts w:ascii="Cambria" w:hAnsi="Cambria"/>
                <w:bCs/>
                <w:sz w:val="24"/>
                <w:szCs w:val="24"/>
                <w:lang w:val="uk-UA"/>
              </w:rPr>
            </w:pPr>
            <w:r w:rsidRPr="0087510F">
              <w:rPr>
                <w:rFonts w:ascii="Cambria" w:hAnsi="Cambria"/>
                <w:bCs/>
                <w:sz w:val="24"/>
                <w:szCs w:val="24"/>
                <w:lang w:val="uk-UA"/>
              </w:rPr>
              <w:t>4,7</w:t>
            </w:r>
          </w:p>
        </w:tc>
      </w:tr>
    </w:tbl>
    <w:p w:rsidR="00CE31AB" w:rsidRDefault="00CE31AB" w:rsidP="00CE31AB">
      <w:pPr>
        <w:ind w:right="-1" w:firstLine="709"/>
        <w:jc w:val="both"/>
        <w:rPr>
          <w:rFonts w:ascii="Cambria" w:hAnsi="Cambria"/>
          <w:sz w:val="28"/>
          <w:szCs w:val="28"/>
          <w:lang w:val="uk-UA"/>
        </w:rPr>
      </w:pPr>
    </w:p>
    <w:p w:rsidR="00CE31AB" w:rsidRPr="007E2F5F" w:rsidRDefault="00CE31AB" w:rsidP="00CE31AB">
      <w:pPr>
        <w:spacing w:line="235" w:lineRule="auto"/>
        <w:ind w:firstLine="709"/>
        <w:jc w:val="both"/>
        <w:rPr>
          <w:rFonts w:ascii="Cambria" w:hAnsi="Cambria"/>
          <w:spacing w:val="-4"/>
          <w:sz w:val="28"/>
          <w:szCs w:val="28"/>
          <w:lang w:val="uk-UA"/>
        </w:rPr>
      </w:pPr>
      <w:r w:rsidRPr="007E2F5F">
        <w:rPr>
          <w:rFonts w:ascii="Cambria" w:hAnsi="Cambria"/>
          <w:spacing w:val="-4"/>
          <w:sz w:val="28"/>
          <w:szCs w:val="28"/>
          <w:lang w:val="uk-UA"/>
        </w:rPr>
        <w:t xml:space="preserve">Культуру спілкування експерти оцінювали за чотирма основними її функціями: комунікативною, психологічною, пізнавальною та організаційною, а також у двох </w:t>
      </w:r>
      <w:proofErr w:type="spellStart"/>
      <w:r w:rsidRPr="007E2F5F">
        <w:rPr>
          <w:rFonts w:ascii="Cambria" w:hAnsi="Cambria"/>
          <w:spacing w:val="-4"/>
          <w:sz w:val="28"/>
          <w:szCs w:val="28"/>
          <w:lang w:val="uk-UA"/>
        </w:rPr>
        <w:t>мовних</w:t>
      </w:r>
      <w:proofErr w:type="spellEnd"/>
      <w:r w:rsidRPr="007E2F5F">
        <w:rPr>
          <w:rFonts w:ascii="Cambria" w:hAnsi="Cambria"/>
          <w:spacing w:val="-4"/>
          <w:sz w:val="28"/>
          <w:szCs w:val="28"/>
          <w:lang w:val="uk-UA"/>
        </w:rPr>
        <w:t xml:space="preserve"> різновидах – монолозі та діалозі. Результати дослідження показали, що студентки отримали середній бал 4,7.</w:t>
      </w:r>
    </w:p>
    <w:p w:rsidR="00CE31AB" w:rsidRPr="0086613F" w:rsidRDefault="00CE31AB" w:rsidP="00CE31AB">
      <w:pPr>
        <w:spacing w:line="235" w:lineRule="auto"/>
        <w:ind w:firstLine="709"/>
        <w:jc w:val="both"/>
        <w:rPr>
          <w:rFonts w:ascii="Cambria" w:hAnsi="Cambria"/>
          <w:sz w:val="28"/>
          <w:szCs w:val="28"/>
          <w:lang w:val="uk-UA"/>
        </w:rPr>
      </w:pPr>
      <w:r w:rsidRPr="0086613F">
        <w:rPr>
          <w:rFonts w:ascii="Cambria" w:hAnsi="Cambria"/>
          <w:sz w:val="28"/>
          <w:szCs w:val="28"/>
          <w:lang w:val="uk-UA"/>
        </w:rPr>
        <w:lastRenderedPageBreak/>
        <w:t>У процесі оцінювання вміння дотримуватися правил етикету враховували наявність його чотирьох складників: вербальний етикет, міміка та жести (</w:t>
      </w:r>
      <w:proofErr w:type="spellStart"/>
      <w:r w:rsidRPr="0086613F">
        <w:rPr>
          <w:rFonts w:ascii="Cambria" w:hAnsi="Cambria"/>
          <w:sz w:val="28"/>
          <w:szCs w:val="28"/>
          <w:lang w:val="uk-UA"/>
        </w:rPr>
        <w:t>кінесика</w:t>
      </w:r>
      <w:proofErr w:type="spellEnd"/>
      <w:r w:rsidRPr="0086613F">
        <w:rPr>
          <w:rFonts w:ascii="Cambria" w:hAnsi="Cambria"/>
          <w:sz w:val="28"/>
          <w:szCs w:val="28"/>
          <w:lang w:val="uk-UA"/>
        </w:rPr>
        <w:t>), просторова етика (</w:t>
      </w:r>
      <w:proofErr w:type="spellStart"/>
      <w:r w:rsidRPr="0086613F">
        <w:rPr>
          <w:rFonts w:ascii="Cambria" w:hAnsi="Cambria"/>
          <w:sz w:val="28"/>
          <w:szCs w:val="28"/>
          <w:lang w:val="uk-UA"/>
        </w:rPr>
        <w:t>проксеміка</w:t>
      </w:r>
      <w:proofErr w:type="spellEnd"/>
      <w:r w:rsidRPr="0086613F">
        <w:rPr>
          <w:rFonts w:ascii="Cambria" w:hAnsi="Cambria"/>
          <w:sz w:val="28"/>
          <w:szCs w:val="28"/>
          <w:lang w:val="uk-UA"/>
        </w:rPr>
        <w:t>), етикетна атрибутика. Студентки за цим критерієм мали середній бал 4,7.</w:t>
      </w:r>
    </w:p>
    <w:p w:rsidR="00CE31AB" w:rsidRPr="007E2F5F" w:rsidRDefault="00CE31AB" w:rsidP="00CE31AB">
      <w:pPr>
        <w:spacing w:line="235" w:lineRule="auto"/>
        <w:ind w:firstLine="709"/>
        <w:jc w:val="both"/>
        <w:rPr>
          <w:rFonts w:ascii="Cambria" w:hAnsi="Cambria"/>
          <w:spacing w:val="-4"/>
          <w:sz w:val="28"/>
          <w:szCs w:val="28"/>
          <w:lang w:val="uk-UA"/>
        </w:rPr>
      </w:pPr>
      <w:r w:rsidRPr="007E2F5F">
        <w:rPr>
          <w:rFonts w:ascii="Cambria" w:hAnsi="Cambria"/>
          <w:spacing w:val="-4"/>
          <w:sz w:val="28"/>
          <w:szCs w:val="28"/>
          <w:lang w:val="uk-UA"/>
        </w:rPr>
        <w:t xml:space="preserve">Визначення </w:t>
      </w:r>
      <w:proofErr w:type="spellStart"/>
      <w:r w:rsidRPr="007E2F5F">
        <w:rPr>
          <w:rFonts w:ascii="Cambria" w:hAnsi="Cambria"/>
          <w:spacing w:val="-4"/>
          <w:sz w:val="28"/>
          <w:szCs w:val="28"/>
          <w:lang w:val="uk-UA"/>
        </w:rPr>
        <w:t>морфо</w:t>
      </w:r>
      <w:proofErr w:type="spellEnd"/>
      <w:r w:rsidRPr="007E2F5F">
        <w:rPr>
          <w:rFonts w:ascii="Cambria" w:hAnsi="Cambria"/>
          <w:spacing w:val="-4"/>
          <w:sz w:val="28"/>
          <w:szCs w:val="28"/>
          <w:lang w:val="uk-UA"/>
        </w:rPr>
        <w:t xml:space="preserve">-функціональних особливостей тіла людини передбачало застосування комплексу методів для визначення </w:t>
      </w:r>
      <w:proofErr w:type="spellStart"/>
      <w:r w:rsidRPr="007E2F5F">
        <w:rPr>
          <w:rFonts w:ascii="Cambria" w:hAnsi="Cambria"/>
          <w:spacing w:val="-4"/>
          <w:sz w:val="28"/>
          <w:szCs w:val="28"/>
          <w:lang w:val="uk-UA"/>
        </w:rPr>
        <w:t>соматометричних</w:t>
      </w:r>
      <w:proofErr w:type="spellEnd"/>
      <w:r w:rsidRPr="007E2F5F">
        <w:rPr>
          <w:rFonts w:ascii="Cambria" w:hAnsi="Cambria"/>
          <w:spacing w:val="-4"/>
          <w:sz w:val="28"/>
          <w:szCs w:val="28"/>
          <w:lang w:val="uk-UA"/>
        </w:rPr>
        <w:t xml:space="preserve">, </w:t>
      </w:r>
      <w:proofErr w:type="spellStart"/>
      <w:r w:rsidRPr="007E2F5F">
        <w:rPr>
          <w:rFonts w:ascii="Cambria" w:hAnsi="Cambria"/>
          <w:spacing w:val="-4"/>
          <w:sz w:val="28"/>
          <w:szCs w:val="28"/>
          <w:lang w:val="uk-UA"/>
        </w:rPr>
        <w:t>фізіометричних</w:t>
      </w:r>
      <w:proofErr w:type="spellEnd"/>
      <w:r w:rsidRPr="007E2F5F">
        <w:rPr>
          <w:rFonts w:ascii="Cambria" w:hAnsi="Cambria"/>
          <w:spacing w:val="-4"/>
          <w:sz w:val="28"/>
          <w:szCs w:val="28"/>
          <w:lang w:val="uk-UA"/>
        </w:rPr>
        <w:t xml:space="preserve"> і </w:t>
      </w:r>
      <w:proofErr w:type="spellStart"/>
      <w:r w:rsidRPr="007E2F5F">
        <w:rPr>
          <w:rFonts w:ascii="Cambria" w:hAnsi="Cambria"/>
          <w:spacing w:val="-4"/>
          <w:sz w:val="28"/>
          <w:szCs w:val="28"/>
          <w:lang w:val="uk-UA"/>
        </w:rPr>
        <w:t>соматоскопічних</w:t>
      </w:r>
      <w:proofErr w:type="spellEnd"/>
      <w:r w:rsidRPr="007E2F5F">
        <w:rPr>
          <w:rFonts w:ascii="Cambria" w:hAnsi="Cambria"/>
          <w:spacing w:val="-4"/>
          <w:sz w:val="28"/>
          <w:szCs w:val="28"/>
          <w:lang w:val="uk-UA"/>
        </w:rPr>
        <w:t xml:space="preserve"> ознак. Дослідження ступеня розвитку фізичних якостей включало використання комплексу тестів, які відповідають стандартним вимогам щодо об’єктивності, інформативності, надійності, наявності шкал оцінок, доступності, місця і часу проведення. Вищезазначені критерії студенток експерти оцінили у 4,6 балів.</w:t>
      </w:r>
    </w:p>
    <w:p w:rsidR="00CE31AB" w:rsidRPr="007E2F5F" w:rsidRDefault="00CE31AB" w:rsidP="00CE31AB">
      <w:pPr>
        <w:spacing w:line="235" w:lineRule="auto"/>
        <w:ind w:firstLine="709"/>
        <w:jc w:val="both"/>
        <w:rPr>
          <w:rFonts w:ascii="Cambria" w:hAnsi="Cambria"/>
          <w:spacing w:val="-4"/>
          <w:sz w:val="28"/>
          <w:szCs w:val="28"/>
          <w:lang w:val="uk-UA"/>
        </w:rPr>
      </w:pPr>
      <w:r w:rsidRPr="007E2F5F">
        <w:rPr>
          <w:rFonts w:ascii="Cambria" w:hAnsi="Cambria"/>
          <w:spacing w:val="-4"/>
          <w:sz w:val="28"/>
          <w:szCs w:val="28"/>
          <w:lang w:val="uk-UA"/>
        </w:rPr>
        <w:t>Оцінка методичної підготовленості студенток складалася з таких критеріїв: правильний підбір засобів оздоровчої аеробіки (вправи, обладнання, музичні фонограми тощо), надання рекомендацій щодо видів занять і дозування навантаження, роз’яснення команд та жестів, оцінка технічності виконання рухів студентками і тими, хто займаються, первинне поєднання рухів з музикою та достовірність оцінки рухової підготовленості тих, хто займаються (підготовчий рівень, основний, високий та спортивний), рекомендації щодо застосування раціонального харчування. Методична підготовленість студенток була оцінена у 4,7 бали.</w:t>
      </w:r>
    </w:p>
    <w:p w:rsidR="00CE31AB" w:rsidRPr="007E2F5F" w:rsidRDefault="00CE31AB" w:rsidP="00CE31AB">
      <w:pPr>
        <w:spacing w:line="235" w:lineRule="auto"/>
        <w:ind w:firstLine="709"/>
        <w:jc w:val="both"/>
        <w:rPr>
          <w:rFonts w:ascii="Cambria" w:hAnsi="Cambria"/>
          <w:spacing w:val="-4"/>
          <w:sz w:val="28"/>
          <w:szCs w:val="28"/>
          <w:lang w:val="uk-UA"/>
        </w:rPr>
      </w:pPr>
      <w:r w:rsidRPr="007E2F5F">
        <w:rPr>
          <w:rFonts w:ascii="Cambria" w:hAnsi="Cambria"/>
          <w:spacing w:val="-4"/>
          <w:sz w:val="28"/>
          <w:szCs w:val="28"/>
          <w:lang w:val="uk-UA"/>
        </w:rPr>
        <w:t>Організаційну підготовленість майбутнього фахівця перевіряли за ступенем сформованості вміння надавати рекомендації щодо властивостей спеціального обладнання, розкладу занять, розміщення фахівця та групи на танцювальному майданчику, техніки безпеки, рекомендацій із підбору одягу та взуття (гігієни) тощо. Оцінка цих умінь у студенток відповідала 4,7 бали.</w:t>
      </w:r>
    </w:p>
    <w:p w:rsidR="00CE31AB" w:rsidRPr="007E2F5F" w:rsidRDefault="00CE31AB" w:rsidP="00CE31AB">
      <w:pPr>
        <w:spacing w:line="235" w:lineRule="auto"/>
        <w:ind w:firstLine="709"/>
        <w:jc w:val="both"/>
        <w:rPr>
          <w:rFonts w:ascii="Cambria" w:hAnsi="Cambria"/>
          <w:iCs/>
          <w:spacing w:val="-4"/>
          <w:sz w:val="28"/>
          <w:szCs w:val="28"/>
          <w:lang w:val="uk-UA"/>
        </w:rPr>
      </w:pPr>
      <w:r w:rsidRPr="007E2F5F">
        <w:rPr>
          <w:rFonts w:ascii="Cambria" w:hAnsi="Cambria"/>
          <w:iCs/>
          <w:spacing w:val="-4"/>
          <w:sz w:val="28"/>
          <w:szCs w:val="28"/>
          <w:lang w:val="uk-UA"/>
        </w:rPr>
        <w:t xml:space="preserve">Визначення рівня психологічної підготовленості майбутнього фахівця до розв’язання педагогічних ситуацій здійснювалася в два етапи. </w:t>
      </w:r>
    </w:p>
    <w:p w:rsidR="00CE31AB" w:rsidRPr="007E2F5F" w:rsidRDefault="00CE31AB" w:rsidP="00CE31AB">
      <w:pPr>
        <w:spacing w:line="235" w:lineRule="auto"/>
        <w:ind w:right="-1" w:firstLine="709"/>
        <w:jc w:val="both"/>
        <w:rPr>
          <w:rFonts w:ascii="Cambria" w:hAnsi="Cambria"/>
          <w:iCs/>
          <w:spacing w:val="-4"/>
          <w:sz w:val="28"/>
          <w:szCs w:val="28"/>
          <w:lang w:val="uk-UA"/>
        </w:rPr>
      </w:pPr>
      <w:r w:rsidRPr="007E2F5F">
        <w:rPr>
          <w:rFonts w:ascii="Cambria" w:hAnsi="Cambria"/>
          <w:iCs/>
          <w:spacing w:val="-4"/>
          <w:sz w:val="28"/>
          <w:szCs w:val="28"/>
          <w:lang w:val="uk-UA"/>
        </w:rPr>
        <w:t>На першому етапі, під час проведення первинного інструктажу, студенткам доводилося вирішувати нестандартні педагогічні ситуації, що були навмисне створені відвідувачами. Оцінювалося вміння студенток перетворити педагогічну ситуацію в педагогічну задачу, а також рівень розвитку у них особистісно-професійних якостей, зокрема: швидкості реакції та мислення, кмітливості, оперативної пам’яті, самоконтролю, врівноваженості.</w:t>
      </w:r>
    </w:p>
    <w:p w:rsidR="00CE31AB" w:rsidRPr="007E2F5F" w:rsidRDefault="00CE31AB" w:rsidP="00CE31AB">
      <w:pPr>
        <w:spacing w:line="235" w:lineRule="auto"/>
        <w:ind w:right="-1" w:firstLine="709"/>
        <w:jc w:val="both"/>
        <w:rPr>
          <w:rFonts w:ascii="Cambria" w:hAnsi="Cambria"/>
          <w:iCs/>
          <w:spacing w:val="-4"/>
          <w:sz w:val="28"/>
          <w:szCs w:val="28"/>
          <w:lang w:val="uk-UA"/>
        </w:rPr>
      </w:pPr>
      <w:r w:rsidRPr="007E2F5F">
        <w:rPr>
          <w:rFonts w:ascii="Cambria" w:hAnsi="Cambria"/>
          <w:iCs/>
          <w:spacing w:val="-4"/>
          <w:sz w:val="28"/>
          <w:szCs w:val="28"/>
          <w:lang w:val="uk-UA"/>
        </w:rPr>
        <w:t>На другому етапі, після закінчення первинного інструктажу, студентки за завданням експертів розв’язували запропоновані педагогічні ситуації, самостійно перетворюючи їх на педагогічні задачі, відповідно до визначеної мети. На цьому етапі, як і на попередньому, визначали рівень вияву відповідних умінь та особистісно-професійних якостей учасників експерименту, але, за умов відсутності відвідувачів, відводилося порівняно більше часу для аналізу педагогічних ситуацій і можливості запропонувати кілька варіантів їхнього ефективного вирішення. Студентки впоралися з завданнями та отримали 4,7.</w:t>
      </w:r>
    </w:p>
    <w:p w:rsidR="00CE31AB" w:rsidRPr="007E2F5F" w:rsidRDefault="00CE31AB" w:rsidP="00CE31AB">
      <w:pPr>
        <w:spacing w:line="235" w:lineRule="auto"/>
        <w:ind w:right="-1" w:firstLine="709"/>
        <w:jc w:val="both"/>
        <w:rPr>
          <w:rFonts w:ascii="Cambria" w:hAnsi="Cambria"/>
          <w:spacing w:val="-4"/>
          <w:sz w:val="28"/>
          <w:szCs w:val="28"/>
          <w:lang w:val="uk-UA"/>
        </w:rPr>
      </w:pPr>
      <w:r w:rsidRPr="007E2F5F">
        <w:rPr>
          <w:rFonts w:ascii="Cambria" w:hAnsi="Cambria"/>
          <w:iCs/>
          <w:spacing w:val="-4"/>
          <w:sz w:val="28"/>
          <w:szCs w:val="28"/>
          <w:lang w:val="uk-UA"/>
        </w:rPr>
        <w:lastRenderedPageBreak/>
        <w:t xml:space="preserve">Оцінки експертів свідчать, що рівень комунікативної та психологічної підготовленості під час проведення первинного інструктажу наступний. Середній бал за визначеними критеріями оцінювання становив 4,7 у студенток. Отримані дані підтверджують ефективність використання </w:t>
      </w:r>
      <w:r w:rsidRPr="007E2F5F">
        <w:rPr>
          <w:rFonts w:ascii="Cambria" w:hAnsi="Cambria"/>
          <w:spacing w:val="-4"/>
          <w:sz w:val="28"/>
          <w:szCs w:val="28"/>
          <w:lang w:val="uk-UA"/>
        </w:rPr>
        <w:t>експериментальної програми дисципліни «Спортивно-педагогічне вдосконалення (оздоровча аеробіка)».</w:t>
      </w:r>
    </w:p>
    <w:p w:rsidR="00CE31AB" w:rsidRPr="007E2F5F" w:rsidRDefault="00CE31AB" w:rsidP="00CE31AB">
      <w:pPr>
        <w:shd w:val="clear" w:color="auto" w:fill="FFFFFF"/>
        <w:spacing w:line="235" w:lineRule="auto"/>
        <w:ind w:firstLine="709"/>
        <w:jc w:val="both"/>
        <w:rPr>
          <w:rFonts w:ascii="Cambria" w:hAnsi="Cambria"/>
          <w:spacing w:val="-4"/>
          <w:sz w:val="28"/>
          <w:szCs w:val="28"/>
          <w:lang w:val="uk-UA"/>
        </w:rPr>
      </w:pPr>
      <w:r w:rsidRPr="007E2F5F">
        <w:rPr>
          <w:rFonts w:ascii="Cambria" w:hAnsi="Cambria"/>
          <w:spacing w:val="-4"/>
          <w:sz w:val="28"/>
          <w:szCs w:val="28"/>
          <w:lang w:val="uk-UA"/>
        </w:rPr>
        <w:t xml:space="preserve">Результати проведеного дослідження показують, що запропонована експериментальна програма підготовки фахівців з фізичного виховання до проведення занять з оздоровчої аеробіки суттєво впливає на формування в майбутніх фахівців таких важливих компонентів як комунікативна та психологічна підготовленість. Вони суттєво доповнюють </w:t>
      </w:r>
      <w:proofErr w:type="spellStart"/>
      <w:r w:rsidRPr="007E2F5F">
        <w:rPr>
          <w:rFonts w:ascii="Cambria" w:hAnsi="Cambria"/>
          <w:spacing w:val="-4"/>
          <w:sz w:val="28"/>
          <w:szCs w:val="28"/>
          <w:lang w:val="uk-UA"/>
        </w:rPr>
        <w:t>професійно</w:t>
      </w:r>
      <w:proofErr w:type="spellEnd"/>
      <w:r w:rsidRPr="007E2F5F">
        <w:rPr>
          <w:rFonts w:ascii="Cambria" w:hAnsi="Cambria"/>
          <w:spacing w:val="-4"/>
          <w:sz w:val="28"/>
          <w:szCs w:val="28"/>
          <w:lang w:val="uk-UA"/>
        </w:rPr>
        <w:t>-прикладну підготовленість студенток до майбутньої професійної діяльності.</w:t>
      </w:r>
    </w:p>
    <w:p w:rsidR="00CE31AB" w:rsidRPr="007E2F5F" w:rsidRDefault="00CE31AB" w:rsidP="00CE31AB">
      <w:pPr>
        <w:shd w:val="clear" w:color="auto" w:fill="FFFFFF"/>
        <w:spacing w:line="235" w:lineRule="auto"/>
        <w:ind w:firstLine="709"/>
        <w:jc w:val="center"/>
        <w:rPr>
          <w:rFonts w:ascii="Cambria" w:hAnsi="Cambria"/>
          <w:b/>
          <w:spacing w:val="-4"/>
          <w:sz w:val="28"/>
          <w:szCs w:val="28"/>
          <w:lang w:val="uk-UA"/>
        </w:rPr>
      </w:pPr>
    </w:p>
    <w:p w:rsidR="00CE31AB" w:rsidRPr="007E2F5F" w:rsidRDefault="00CE31AB" w:rsidP="00CE31AB">
      <w:pPr>
        <w:shd w:val="clear" w:color="auto" w:fill="FFFFFF"/>
        <w:spacing w:line="235" w:lineRule="auto"/>
        <w:jc w:val="center"/>
        <w:rPr>
          <w:rFonts w:ascii="Cambria" w:hAnsi="Cambria"/>
          <w:b/>
          <w:spacing w:val="-4"/>
          <w:sz w:val="28"/>
          <w:szCs w:val="28"/>
          <w:lang w:val="uk-UA"/>
        </w:rPr>
      </w:pPr>
      <w:r w:rsidRPr="007E2F5F">
        <w:rPr>
          <w:b/>
          <w:spacing w:val="-4"/>
          <w:sz w:val="28"/>
          <w:lang w:val="uk-UA"/>
        </w:rPr>
        <w:t>Список використаних джерел:</w:t>
      </w:r>
    </w:p>
    <w:p w:rsidR="00CE31AB" w:rsidRPr="007E2F5F" w:rsidRDefault="00CE31AB" w:rsidP="00CE31AB">
      <w:pPr>
        <w:numPr>
          <w:ilvl w:val="0"/>
          <w:numId w:val="1"/>
        </w:numPr>
        <w:tabs>
          <w:tab w:val="clear" w:pos="360"/>
          <w:tab w:val="left" w:pos="426"/>
          <w:tab w:val="left" w:pos="1134"/>
        </w:tabs>
        <w:spacing w:line="235" w:lineRule="auto"/>
        <w:ind w:left="426" w:right="-1" w:hanging="426"/>
        <w:jc w:val="both"/>
        <w:rPr>
          <w:rFonts w:ascii="Cambria" w:hAnsi="Cambria"/>
          <w:spacing w:val="-4"/>
          <w:sz w:val="24"/>
          <w:szCs w:val="24"/>
          <w:lang w:val="uk-UA"/>
        </w:rPr>
      </w:pPr>
      <w:r w:rsidRPr="007E2F5F">
        <w:rPr>
          <w:rFonts w:ascii="Cambria" w:hAnsi="Cambria"/>
          <w:spacing w:val="-4"/>
          <w:sz w:val="24"/>
          <w:szCs w:val="24"/>
          <w:lang w:val="uk-UA"/>
        </w:rPr>
        <w:t xml:space="preserve">Колесник И. С. </w:t>
      </w:r>
      <w:proofErr w:type="spellStart"/>
      <w:r w:rsidRPr="007E2F5F">
        <w:rPr>
          <w:rFonts w:ascii="Cambria" w:hAnsi="Cambria"/>
          <w:spacing w:val="-4"/>
          <w:sz w:val="24"/>
          <w:szCs w:val="24"/>
          <w:lang w:val="uk-UA"/>
        </w:rPr>
        <w:t>Повышение</w:t>
      </w:r>
      <w:proofErr w:type="spellEnd"/>
      <w:r w:rsidRPr="007E2F5F">
        <w:rPr>
          <w:rFonts w:ascii="Cambria" w:hAnsi="Cambria"/>
          <w:spacing w:val="-4"/>
          <w:sz w:val="24"/>
          <w:szCs w:val="24"/>
          <w:lang w:val="uk-UA"/>
        </w:rPr>
        <w:t xml:space="preserve"> </w:t>
      </w:r>
      <w:proofErr w:type="spellStart"/>
      <w:r w:rsidRPr="007E2F5F">
        <w:rPr>
          <w:rFonts w:ascii="Cambria" w:hAnsi="Cambria"/>
          <w:spacing w:val="-4"/>
          <w:sz w:val="24"/>
          <w:szCs w:val="24"/>
          <w:lang w:val="uk-UA"/>
        </w:rPr>
        <w:t>профессионализма</w:t>
      </w:r>
      <w:proofErr w:type="spellEnd"/>
      <w:r w:rsidRPr="007E2F5F">
        <w:rPr>
          <w:rFonts w:ascii="Cambria" w:hAnsi="Cambria"/>
          <w:spacing w:val="-4"/>
          <w:sz w:val="24"/>
          <w:szCs w:val="24"/>
          <w:lang w:val="uk-UA"/>
        </w:rPr>
        <w:t xml:space="preserve"> тренера </w:t>
      </w:r>
      <w:proofErr w:type="spellStart"/>
      <w:r w:rsidRPr="007E2F5F">
        <w:rPr>
          <w:rFonts w:ascii="Cambria" w:hAnsi="Cambria"/>
          <w:spacing w:val="-4"/>
          <w:sz w:val="24"/>
          <w:szCs w:val="24"/>
          <w:lang w:val="uk-UA"/>
        </w:rPr>
        <w:t>как</w:t>
      </w:r>
      <w:proofErr w:type="spellEnd"/>
      <w:r w:rsidRPr="007E2F5F">
        <w:rPr>
          <w:rFonts w:ascii="Cambria" w:hAnsi="Cambria"/>
          <w:spacing w:val="-4"/>
          <w:sz w:val="24"/>
          <w:szCs w:val="24"/>
          <w:lang w:val="uk-UA"/>
        </w:rPr>
        <w:t xml:space="preserve"> один </w:t>
      </w:r>
      <w:proofErr w:type="spellStart"/>
      <w:r w:rsidRPr="007E2F5F">
        <w:rPr>
          <w:rFonts w:ascii="Cambria" w:hAnsi="Cambria"/>
          <w:spacing w:val="-4"/>
          <w:sz w:val="24"/>
          <w:szCs w:val="24"/>
          <w:lang w:val="uk-UA"/>
        </w:rPr>
        <w:t>из</w:t>
      </w:r>
      <w:proofErr w:type="spellEnd"/>
      <w:r w:rsidRPr="007E2F5F">
        <w:rPr>
          <w:rFonts w:ascii="Cambria" w:hAnsi="Cambria"/>
          <w:spacing w:val="-4"/>
          <w:sz w:val="24"/>
          <w:szCs w:val="24"/>
          <w:lang w:val="uk-UA"/>
        </w:rPr>
        <w:t xml:space="preserve"> </w:t>
      </w:r>
      <w:proofErr w:type="spellStart"/>
      <w:r w:rsidRPr="007E2F5F">
        <w:rPr>
          <w:rFonts w:ascii="Cambria" w:hAnsi="Cambria"/>
          <w:spacing w:val="-4"/>
          <w:sz w:val="24"/>
          <w:szCs w:val="24"/>
          <w:lang w:val="uk-UA"/>
        </w:rPr>
        <w:t>ведущих</w:t>
      </w:r>
      <w:proofErr w:type="spellEnd"/>
      <w:r w:rsidRPr="007E2F5F">
        <w:rPr>
          <w:rFonts w:ascii="Cambria" w:hAnsi="Cambria"/>
          <w:spacing w:val="-4"/>
          <w:sz w:val="24"/>
          <w:szCs w:val="24"/>
          <w:lang w:val="uk-UA"/>
        </w:rPr>
        <w:t xml:space="preserve"> </w:t>
      </w:r>
      <w:proofErr w:type="spellStart"/>
      <w:r w:rsidRPr="007E2F5F">
        <w:rPr>
          <w:rFonts w:ascii="Cambria" w:hAnsi="Cambria"/>
          <w:spacing w:val="-4"/>
          <w:sz w:val="24"/>
          <w:szCs w:val="24"/>
          <w:lang w:val="uk-UA"/>
        </w:rPr>
        <w:t>факторов</w:t>
      </w:r>
      <w:proofErr w:type="spellEnd"/>
      <w:r w:rsidRPr="007E2F5F">
        <w:rPr>
          <w:rFonts w:ascii="Cambria" w:hAnsi="Cambria"/>
          <w:spacing w:val="-4"/>
          <w:sz w:val="24"/>
          <w:szCs w:val="24"/>
          <w:lang w:val="uk-UA"/>
        </w:rPr>
        <w:t xml:space="preserve"> роста спортивного </w:t>
      </w:r>
      <w:proofErr w:type="spellStart"/>
      <w:r w:rsidRPr="007E2F5F">
        <w:rPr>
          <w:rFonts w:ascii="Cambria" w:hAnsi="Cambria"/>
          <w:spacing w:val="-4"/>
          <w:sz w:val="24"/>
          <w:szCs w:val="24"/>
          <w:lang w:val="uk-UA"/>
        </w:rPr>
        <w:t>мастерства</w:t>
      </w:r>
      <w:proofErr w:type="spellEnd"/>
      <w:r w:rsidRPr="007E2F5F">
        <w:rPr>
          <w:rFonts w:ascii="Cambria" w:hAnsi="Cambria"/>
          <w:spacing w:val="-4"/>
          <w:sz w:val="24"/>
          <w:szCs w:val="24"/>
          <w:lang w:val="uk-UA"/>
        </w:rPr>
        <w:t xml:space="preserve"> </w:t>
      </w:r>
      <w:proofErr w:type="spellStart"/>
      <w:r w:rsidRPr="007E2F5F">
        <w:rPr>
          <w:rFonts w:ascii="Cambria" w:hAnsi="Cambria"/>
          <w:spacing w:val="-4"/>
          <w:sz w:val="24"/>
          <w:szCs w:val="24"/>
          <w:lang w:val="uk-UA"/>
        </w:rPr>
        <w:t>спортсменов</w:t>
      </w:r>
      <w:proofErr w:type="spellEnd"/>
      <w:r w:rsidRPr="007E2F5F">
        <w:rPr>
          <w:rFonts w:ascii="Cambria" w:hAnsi="Cambria"/>
          <w:spacing w:val="-4"/>
          <w:sz w:val="24"/>
          <w:szCs w:val="24"/>
          <w:lang w:val="uk-UA"/>
        </w:rPr>
        <w:t xml:space="preserve"> / И. С. Колесник // </w:t>
      </w:r>
      <w:proofErr w:type="spellStart"/>
      <w:r w:rsidRPr="007E2F5F">
        <w:rPr>
          <w:rFonts w:ascii="Cambria" w:hAnsi="Cambria"/>
          <w:spacing w:val="-4"/>
          <w:sz w:val="24"/>
          <w:szCs w:val="24"/>
          <w:lang w:val="uk-UA"/>
        </w:rPr>
        <w:t>Теория</w:t>
      </w:r>
      <w:proofErr w:type="spellEnd"/>
      <w:r w:rsidRPr="007E2F5F">
        <w:rPr>
          <w:rFonts w:ascii="Cambria" w:hAnsi="Cambria"/>
          <w:spacing w:val="-4"/>
          <w:sz w:val="24"/>
          <w:szCs w:val="24"/>
          <w:lang w:val="uk-UA"/>
        </w:rPr>
        <w:t xml:space="preserve"> и методика </w:t>
      </w:r>
      <w:proofErr w:type="spellStart"/>
      <w:r w:rsidRPr="007E2F5F">
        <w:rPr>
          <w:rFonts w:ascii="Cambria" w:hAnsi="Cambria"/>
          <w:spacing w:val="-4"/>
          <w:sz w:val="24"/>
          <w:szCs w:val="24"/>
          <w:lang w:val="uk-UA"/>
        </w:rPr>
        <w:t>физической</w:t>
      </w:r>
      <w:proofErr w:type="spellEnd"/>
      <w:r w:rsidRPr="007E2F5F">
        <w:rPr>
          <w:rFonts w:ascii="Cambria" w:hAnsi="Cambria"/>
          <w:spacing w:val="-4"/>
          <w:sz w:val="24"/>
          <w:szCs w:val="24"/>
          <w:lang w:val="uk-UA"/>
        </w:rPr>
        <w:t xml:space="preserve"> </w:t>
      </w:r>
      <w:proofErr w:type="spellStart"/>
      <w:r w:rsidRPr="007E2F5F">
        <w:rPr>
          <w:rFonts w:ascii="Cambria" w:hAnsi="Cambria"/>
          <w:spacing w:val="-4"/>
          <w:sz w:val="24"/>
          <w:szCs w:val="24"/>
          <w:lang w:val="uk-UA"/>
        </w:rPr>
        <w:t>культуры</w:t>
      </w:r>
      <w:proofErr w:type="spellEnd"/>
      <w:r w:rsidRPr="007E2F5F">
        <w:rPr>
          <w:rFonts w:ascii="Cambria" w:hAnsi="Cambria"/>
          <w:spacing w:val="-4"/>
          <w:sz w:val="24"/>
          <w:szCs w:val="24"/>
          <w:lang w:val="uk-UA"/>
        </w:rPr>
        <w:t>. – 2005. – № 5. – С. 36–37.</w:t>
      </w:r>
    </w:p>
    <w:p w:rsidR="00CE31AB" w:rsidRPr="007E2F5F" w:rsidRDefault="00CE31AB" w:rsidP="00CE31AB">
      <w:pPr>
        <w:numPr>
          <w:ilvl w:val="0"/>
          <w:numId w:val="1"/>
        </w:numPr>
        <w:tabs>
          <w:tab w:val="left" w:pos="426"/>
          <w:tab w:val="left" w:pos="1134"/>
          <w:tab w:val="left" w:pos="1276"/>
          <w:tab w:val="num" w:pos="2269"/>
        </w:tabs>
        <w:spacing w:line="235" w:lineRule="auto"/>
        <w:ind w:left="426" w:right="-1" w:hanging="426"/>
        <w:jc w:val="both"/>
        <w:rPr>
          <w:rFonts w:ascii="Cambria" w:hAnsi="Cambria"/>
          <w:spacing w:val="-4"/>
          <w:sz w:val="24"/>
          <w:szCs w:val="24"/>
          <w:lang w:val="uk-UA"/>
        </w:rPr>
      </w:pPr>
      <w:r w:rsidRPr="007E2F5F">
        <w:rPr>
          <w:rFonts w:ascii="Cambria" w:hAnsi="Cambria"/>
          <w:spacing w:val="-4"/>
          <w:sz w:val="24"/>
          <w:szCs w:val="24"/>
          <w:lang w:val="uk-UA"/>
        </w:rPr>
        <w:t xml:space="preserve">Синиця С. В. Оздоровча аеробіка. Спортивно-педагогічне вдосконалення: </w:t>
      </w:r>
      <w:proofErr w:type="spellStart"/>
      <w:r w:rsidRPr="007E2F5F">
        <w:rPr>
          <w:rFonts w:ascii="Cambria" w:hAnsi="Cambria"/>
          <w:spacing w:val="-4"/>
          <w:sz w:val="24"/>
          <w:szCs w:val="24"/>
          <w:lang w:val="uk-UA"/>
        </w:rPr>
        <w:t>навч</w:t>
      </w:r>
      <w:proofErr w:type="spellEnd"/>
      <w:r w:rsidRPr="007E2F5F">
        <w:rPr>
          <w:rFonts w:ascii="Cambria" w:hAnsi="Cambria"/>
          <w:spacing w:val="-4"/>
          <w:sz w:val="24"/>
          <w:szCs w:val="24"/>
          <w:lang w:val="uk-UA"/>
        </w:rPr>
        <w:t xml:space="preserve">. </w:t>
      </w:r>
      <w:proofErr w:type="spellStart"/>
      <w:r w:rsidRPr="007E2F5F">
        <w:rPr>
          <w:rFonts w:ascii="Cambria" w:hAnsi="Cambria"/>
          <w:spacing w:val="-4"/>
          <w:sz w:val="24"/>
          <w:szCs w:val="24"/>
          <w:lang w:val="uk-UA"/>
        </w:rPr>
        <w:t>посіб</w:t>
      </w:r>
      <w:proofErr w:type="spellEnd"/>
      <w:r w:rsidRPr="007E2F5F">
        <w:rPr>
          <w:rFonts w:ascii="Cambria" w:hAnsi="Cambria"/>
          <w:spacing w:val="-4"/>
          <w:sz w:val="24"/>
          <w:szCs w:val="24"/>
          <w:lang w:val="uk-UA"/>
        </w:rPr>
        <w:t>. / С. В. Синиця, Л. Є. </w:t>
      </w:r>
      <w:proofErr w:type="spellStart"/>
      <w:r w:rsidRPr="007E2F5F">
        <w:rPr>
          <w:rFonts w:ascii="Cambria" w:hAnsi="Cambria"/>
          <w:spacing w:val="-4"/>
          <w:sz w:val="24"/>
          <w:szCs w:val="24"/>
          <w:lang w:val="uk-UA"/>
        </w:rPr>
        <w:t>Шестерова</w:t>
      </w:r>
      <w:proofErr w:type="spellEnd"/>
      <w:r w:rsidRPr="007E2F5F">
        <w:rPr>
          <w:rFonts w:ascii="Cambria" w:hAnsi="Cambria"/>
          <w:spacing w:val="-4"/>
          <w:sz w:val="24"/>
          <w:szCs w:val="24"/>
          <w:lang w:val="uk-UA"/>
        </w:rPr>
        <w:t>, Т. О. Синиця. – Львів, 2018. –</w:t>
      </w:r>
      <w:r>
        <w:rPr>
          <w:rFonts w:ascii="Cambria" w:hAnsi="Cambria"/>
          <w:spacing w:val="-4"/>
          <w:sz w:val="24"/>
          <w:szCs w:val="24"/>
          <w:lang w:val="uk-UA"/>
        </w:rPr>
        <w:t xml:space="preserve"> </w:t>
      </w:r>
      <w:r w:rsidRPr="007E2F5F">
        <w:rPr>
          <w:rFonts w:ascii="Cambria" w:hAnsi="Cambria"/>
          <w:spacing w:val="-4"/>
          <w:sz w:val="24"/>
          <w:szCs w:val="24"/>
          <w:lang w:val="uk-UA"/>
        </w:rPr>
        <w:t>236 с.</w:t>
      </w:r>
    </w:p>
    <w:p w:rsidR="00CE31AB" w:rsidRPr="007E2F5F" w:rsidRDefault="00CE31AB" w:rsidP="001A7403">
      <w:pPr>
        <w:numPr>
          <w:ilvl w:val="0"/>
          <w:numId w:val="1"/>
        </w:numPr>
        <w:tabs>
          <w:tab w:val="clear" w:pos="360"/>
          <w:tab w:val="left" w:pos="426"/>
          <w:tab w:val="left" w:pos="851"/>
          <w:tab w:val="left" w:pos="1134"/>
        </w:tabs>
        <w:spacing w:line="235" w:lineRule="auto"/>
        <w:ind w:left="426" w:right="-1" w:hanging="426"/>
        <w:jc w:val="both"/>
        <w:rPr>
          <w:rFonts w:ascii="Cambria" w:hAnsi="Cambria"/>
          <w:spacing w:val="-4"/>
          <w:sz w:val="24"/>
          <w:szCs w:val="24"/>
          <w:lang w:val="uk-UA"/>
        </w:rPr>
      </w:pPr>
      <w:r w:rsidRPr="00CE31AB">
        <w:rPr>
          <w:rFonts w:ascii="Cambria" w:hAnsi="Cambria"/>
          <w:spacing w:val="-4"/>
          <w:sz w:val="24"/>
          <w:szCs w:val="24"/>
          <w:lang w:val="uk-UA"/>
        </w:rPr>
        <w:t xml:space="preserve">Церковна О. В. Структура </w:t>
      </w:r>
      <w:proofErr w:type="spellStart"/>
      <w:r w:rsidRPr="00CE31AB">
        <w:rPr>
          <w:rFonts w:ascii="Cambria" w:hAnsi="Cambria"/>
          <w:spacing w:val="-4"/>
          <w:sz w:val="24"/>
          <w:szCs w:val="24"/>
          <w:lang w:val="uk-UA"/>
        </w:rPr>
        <w:t>комплексной</w:t>
      </w:r>
      <w:proofErr w:type="spellEnd"/>
      <w:r w:rsidRPr="00CE31AB">
        <w:rPr>
          <w:rFonts w:ascii="Cambria" w:hAnsi="Cambria"/>
          <w:spacing w:val="-4"/>
          <w:sz w:val="24"/>
          <w:szCs w:val="24"/>
          <w:lang w:val="uk-UA"/>
        </w:rPr>
        <w:t xml:space="preserve"> </w:t>
      </w:r>
      <w:proofErr w:type="spellStart"/>
      <w:r w:rsidRPr="00CE31AB">
        <w:rPr>
          <w:rFonts w:ascii="Cambria" w:hAnsi="Cambria"/>
          <w:spacing w:val="-4"/>
          <w:sz w:val="24"/>
          <w:szCs w:val="24"/>
          <w:lang w:val="uk-UA"/>
        </w:rPr>
        <w:t>профессионально-прикладной</w:t>
      </w:r>
      <w:proofErr w:type="spellEnd"/>
      <w:r w:rsidRPr="00CE31AB">
        <w:rPr>
          <w:rFonts w:ascii="Cambria" w:hAnsi="Cambria"/>
          <w:spacing w:val="-4"/>
          <w:sz w:val="24"/>
          <w:szCs w:val="24"/>
          <w:lang w:val="uk-UA"/>
        </w:rPr>
        <w:t xml:space="preserve"> </w:t>
      </w:r>
      <w:proofErr w:type="spellStart"/>
      <w:r w:rsidRPr="00CE31AB">
        <w:rPr>
          <w:rFonts w:ascii="Cambria" w:hAnsi="Cambria"/>
          <w:spacing w:val="-4"/>
          <w:sz w:val="24"/>
          <w:szCs w:val="24"/>
          <w:lang w:val="uk-UA"/>
        </w:rPr>
        <w:t>физической</w:t>
      </w:r>
      <w:proofErr w:type="spellEnd"/>
      <w:r w:rsidRPr="00CE31AB">
        <w:rPr>
          <w:rFonts w:ascii="Cambria" w:hAnsi="Cambria"/>
          <w:spacing w:val="-4"/>
          <w:sz w:val="24"/>
          <w:szCs w:val="24"/>
          <w:lang w:val="uk-UA"/>
        </w:rPr>
        <w:t xml:space="preserve"> підготовки </w:t>
      </w:r>
      <w:proofErr w:type="spellStart"/>
      <w:r w:rsidRPr="00CE31AB">
        <w:rPr>
          <w:rFonts w:ascii="Cambria" w:hAnsi="Cambria"/>
          <w:spacing w:val="-4"/>
          <w:sz w:val="24"/>
          <w:szCs w:val="24"/>
          <w:lang w:val="uk-UA"/>
        </w:rPr>
        <w:t>студентов</w:t>
      </w:r>
      <w:proofErr w:type="spellEnd"/>
      <w:r w:rsidRPr="00CE31AB">
        <w:rPr>
          <w:rFonts w:ascii="Cambria" w:hAnsi="Cambria"/>
          <w:spacing w:val="-4"/>
          <w:sz w:val="24"/>
          <w:szCs w:val="24"/>
          <w:lang w:val="uk-UA"/>
        </w:rPr>
        <w:t xml:space="preserve"> </w:t>
      </w:r>
      <w:proofErr w:type="spellStart"/>
      <w:r w:rsidRPr="00CE31AB">
        <w:rPr>
          <w:rFonts w:ascii="Cambria" w:hAnsi="Cambria"/>
          <w:spacing w:val="-4"/>
          <w:sz w:val="24"/>
          <w:szCs w:val="24"/>
          <w:lang w:val="uk-UA"/>
        </w:rPr>
        <w:t>высших</w:t>
      </w:r>
      <w:proofErr w:type="spellEnd"/>
      <w:r w:rsidRPr="00CE31AB">
        <w:rPr>
          <w:rFonts w:ascii="Cambria" w:hAnsi="Cambria"/>
          <w:spacing w:val="-4"/>
          <w:sz w:val="24"/>
          <w:szCs w:val="24"/>
          <w:lang w:val="uk-UA"/>
        </w:rPr>
        <w:t xml:space="preserve"> </w:t>
      </w:r>
      <w:proofErr w:type="spellStart"/>
      <w:r w:rsidRPr="00CE31AB">
        <w:rPr>
          <w:rFonts w:ascii="Cambria" w:hAnsi="Cambria"/>
          <w:spacing w:val="-4"/>
          <w:sz w:val="24"/>
          <w:szCs w:val="24"/>
          <w:lang w:val="uk-UA"/>
        </w:rPr>
        <w:t>учебных</w:t>
      </w:r>
      <w:proofErr w:type="spellEnd"/>
      <w:r w:rsidRPr="00CE31AB">
        <w:rPr>
          <w:rFonts w:ascii="Cambria" w:hAnsi="Cambria"/>
          <w:spacing w:val="-4"/>
          <w:sz w:val="24"/>
          <w:szCs w:val="24"/>
          <w:lang w:val="uk-UA"/>
        </w:rPr>
        <w:t xml:space="preserve"> заведений </w:t>
      </w:r>
      <w:proofErr w:type="spellStart"/>
      <w:r w:rsidRPr="00CE31AB">
        <w:rPr>
          <w:rFonts w:ascii="Cambria" w:hAnsi="Cambria"/>
          <w:spacing w:val="-4"/>
          <w:sz w:val="24"/>
          <w:szCs w:val="24"/>
          <w:lang w:val="uk-UA"/>
        </w:rPr>
        <w:t>технического</w:t>
      </w:r>
      <w:proofErr w:type="spellEnd"/>
      <w:r w:rsidRPr="00CE31AB">
        <w:rPr>
          <w:rFonts w:ascii="Cambria" w:hAnsi="Cambria"/>
          <w:spacing w:val="-4"/>
          <w:sz w:val="24"/>
          <w:szCs w:val="24"/>
          <w:lang w:val="uk-UA"/>
        </w:rPr>
        <w:t xml:space="preserve"> </w:t>
      </w:r>
      <w:proofErr w:type="spellStart"/>
      <w:r w:rsidRPr="00CE31AB">
        <w:rPr>
          <w:rFonts w:ascii="Cambria" w:hAnsi="Cambria"/>
          <w:spacing w:val="-4"/>
          <w:sz w:val="24"/>
          <w:szCs w:val="24"/>
          <w:lang w:val="uk-UA"/>
        </w:rPr>
        <w:t>профиля</w:t>
      </w:r>
      <w:proofErr w:type="spellEnd"/>
      <w:r w:rsidRPr="00CE31AB">
        <w:rPr>
          <w:rFonts w:ascii="Cambria" w:hAnsi="Cambria"/>
          <w:spacing w:val="-4"/>
          <w:sz w:val="24"/>
          <w:szCs w:val="24"/>
          <w:lang w:val="uk-UA"/>
        </w:rPr>
        <w:t xml:space="preserve"> / </w:t>
      </w:r>
      <w:r w:rsidRPr="00CE31AB">
        <w:rPr>
          <w:rFonts w:ascii="Cambria" w:hAnsi="Cambria"/>
          <w:bCs/>
          <w:spacing w:val="-4"/>
          <w:sz w:val="24"/>
          <w:szCs w:val="24"/>
          <w:lang w:val="uk-UA"/>
        </w:rPr>
        <w:t xml:space="preserve">О. В. Церковна, </w:t>
      </w:r>
      <w:r w:rsidRPr="00CE31AB">
        <w:rPr>
          <w:rFonts w:ascii="Cambria" w:hAnsi="Cambria"/>
          <w:spacing w:val="-4"/>
          <w:sz w:val="24"/>
          <w:szCs w:val="24"/>
          <w:lang w:val="uk-UA"/>
        </w:rPr>
        <w:t>Л. Н. </w:t>
      </w:r>
      <w:proofErr w:type="spellStart"/>
      <w:r w:rsidRPr="00CE31AB">
        <w:rPr>
          <w:rFonts w:ascii="Cambria" w:hAnsi="Cambria"/>
          <w:spacing w:val="-4"/>
          <w:sz w:val="24"/>
          <w:szCs w:val="24"/>
          <w:lang w:val="uk-UA"/>
        </w:rPr>
        <w:t>Барыбина</w:t>
      </w:r>
      <w:proofErr w:type="spellEnd"/>
      <w:r w:rsidRPr="00CE31AB">
        <w:rPr>
          <w:rFonts w:ascii="Cambria" w:hAnsi="Cambria"/>
          <w:spacing w:val="-4"/>
          <w:sz w:val="24"/>
          <w:szCs w:val="24"/>
          <w:lang w:val="uk-UA"/>
        </w:rPr>
        <w:t>, А. И. Клименко // </w:t>
      </w:r>
      <w:proofErr w:type="spellStart"/>
      <w:r w:rsidRPr="00CE31AB">
        <w:rPr>
          <w:rFonts w:ascii="Cambria" w:hAnsi="Cambria"/>
          <w:spacing w:val="-4"/>
          <w:sz w:val="24"/>
          <w:szCs w:val="24"/>
          <w:lang w:val="uk-UA"/>
        </w:rPr>
        <w:t>Научные</w:t>
      </w:r>
      <w:proofErr w:type="spellEnd"/>
      <w:r w:rsidRPr="00CE31AB">
        <w:rPr>
          <w:rFonts w:ascii="Cambria" w:hAnsi="Cambria"/>
          <w:spacing w:val="-4"/>
          <w:sz w:val="24"/>
          <w:szCs w:val="24"/>
          <w:lang w:val="uk-UA"/>
        </w:rPr>
        <w:t xml:space="preserve"> </w:t>
      </w:r>
      <w:proofErr w:type="spellStart"/>
      <w:r w:rsidRPr="00CE31AB">
        <w:rPr>
          <w:rFonts w:ascii="Cambria" w:hAnsi="Cambria"/>
          <w:spacing w:val="-4"/>
          <w:sz w:val="24"/>
          <w:szCs w:val="24"/>
          <w:lang w:val="uk-UA"/>
        </w:rPr>
        <w:t>исследования</w:t>
      </w:r>
      <w:proofErr w:type="spellEnd"/>
      <w:r w:rsidRPr="00CE31AB">
        <w:rPr>
          <w:rFonts w:ascii="Cambria" w:hAnsi="Cambria"/>
          <w:spacing w:val="-4"/>
          <w:sz w:val="24"/>
          <w:szCs w:val="24"/>
          <w:lang w:val="uk-UA"/>
        </w:rPr>
        <w:t xml:space="preserve">, </w:t>
      </w:r>
      <w:proofErr w:type="spellStart"/>
      <w:r w:rsidRPr="00CE31AB">
        <w:rPr>
          <w:rFonts w:ascii="Cambria" w:hAnsi="Cambria"/>
          <w:spacing w:val="-4"/>
          <w:sz w:val="24"/>
          <w:szCs w:val="24"/>
          <w:lang w:val="uk-UA"/>
        </w:rPr>
        <w:t>наноситемы</w:t>
      </w:r>
      <w:proofErr w:type="spellEnd"/>
      <w:r w:rsidRPr="00CE31AB">
        <w:rPr>
          <w:rFonts w:ascii="Cambria" w:hAnsi="Cambria"/>
          <w:spacing w:val="-4"/>
          <w:sz w:val="24"/>
          <w:szCs w:val="24"/>
          <w:lang w:val="uk-UA"/>
        </w:rPr>
        <w:t xml:space="preserve"> и </w:t>
      </w:r>
      <w:proofErr w:type="spellStart"/>
      <w:r w:rsidRPr="00CE31AB">
        <w:rPr>
          <w:rFonts w:ascii="Cambria" w:hAnsi="Cambria"/>
          <w:spacing w:val="-4"/>
          <w:sz w:val="24"/>
          <w:szCs w:val="24"/>
          <w:lang w:val="uk-UA"/>
        </w:rPr>
        <w:t>ресурсосберегающие</w:t>
      </w:r>
      <w:proofErr w:type="spellEnd"/>
      <w:r w:rsidRPr="00CE31AB">
        <w:rPr>
          <w:rFonts w:ascii="Cambria" w:hAnsi="Cambria"/>
          <w:spacing w:val="-4"/>
          <w:sz w:val="24"/>
          <w:szCs w:val="24"/>
          <w:lang w:val="uk-UA"/>
        </w:rPr>
        <w:t xml:space="preserve"> технологи в </w:t>
      </w:r>
      <w:proofErr w:type="spellStart"/>
      <w:r w:rsidRPr="00CE31AB">
        <w:rPr>
          <w:rFonts w:ascii="Cambria" w:hAnsi="Cambria"/>
          <w:spacing w:val="-4"/>
          <w:sz w:val="24"/>
          <w:szCs w:val="24"/>
          <w:lang w:val="uk-UA"/>
        </w:rPr>
        <w:t>стройиндустрии</w:t>
      </w:r>
      <w:proofErr w:type="spellEnd"/>
      <w:r w:rsidRPr="00CE31AB">
        <w:rPr>
          <w:rFonts w:ascii="Cambria" w:hAnsi="Cambria"/>
          <w:spacing w:val="-4"/>
          <w:sz w:val="24"/>
          <w:szCs w:val="24"/>
          <w:lang w:val="uk-UA"/>
        </w:rPr>
        <w:t xml:space="preserve"> (XVIII </w:t>
      </w:r>
      <w:proofErr w:type="spellStart"/>
      <w:r w:rsidRPr="00CE31AB">
        <w:rPr>
          <w:rFonts w:ascii="Cambria" w:hAnsi="Cambria"/>
          <w:spacing w:val="-4"/>
          <w:sz w:val="24"/>
          <w:szCs w:val="24"/>
          <w:lang w:val="uk-UA"/>
        </w:rPr>
        <w:t>научные</w:t>
      </w:r>
      <w:proofErr w:type="spellEnd"/>
      <w:r w:rsidRPr="00CE31AB">
        <w:rPr>
          <w:rFonts w:ascii="Cambria" w:hAnsi="Cambria"/>
          <w:spacing w:val="-4"/>
          <w:sz w:val="24"/>
          <w:szCs w:val="24"/>
          <w:lang w:val="uk-UA"/>
        </w:rPr>
        <w:t xml:space="preserve"> </w:t>
      </w:r>
      <w:proofErr w:type="spellStart"/>
      <w:r w:rsidRPr="00CE31AB">
        <w:rPr>
          <w:rFonts w:ascii="Cambria" w:hAnsi="Cambria"/>
          <w:spacing w:val="-4"/>
          <w:sz w:val="24"/>
          <w:szCs w:val="24"/>
          <w:lang w:val="uk-UA"/>
        </w:rPr>
        <w:t>чтения</w:t>
      </w:r>
      <w:proofErr w:type="spellEnd"/>
      <w:r w:rsidRPr="00CE31AB">
        <w:rPr>
          <w:rFonts w:ascii="Cambria" w:hAnsi="Cambria"/>
          <w:spacing w:val="-4"/>
          <w:sz w:val="24"/>
          <w:szCs w:val="24"/>
          <w:lang w:val="uk-UA"/>
        </w:rPr>
        <w:t xml:space="preserve">) : </w:t>
      </w:r>
      <w:proofErr w:type="spellStart"/>
      <w:r w:rsidRPr="00CE31AB">
        <w:rPr>
          <w:rFonts w:ascii="Cambria" w:hAnsi="Cambria"/>
          <w:spacing w:val="-4"/>
          <w:sz w:val="24"/>
          <w:szCs w:val="24"/>
          <w:lang w:val="uk-UA"/>
        </w:rPr>
        <w:t>материалы</w:t>
      </w:r>
      <w:proofErr w:type="spellEnd"/>
      <w:r w:rsidRPr="00CE31AB">
        <w:rPr>
          <w:rFonts w:ascii="Cambria" w:hAnsi="Cambria"/>
          <w:spacing w:val="-4"/>
          <w:sz w:val="24"/>
          <w:szCs w:val="24"/>
          <w:lang w:val="uk-UA"/>
        </w:rPr>
        <w:t xml:space="preserve"> </w:t>
      </w:r>
      <w:proofErr w:type="spellStart"/>
      <w:r w:rsidRPr="00CE31AB">
        <w:rPr>
          <w:rFonts w:ascii="Cambria" w:hAnsi="Cambria"/>
          <w:spacing w:val="-4"/>
          <w:sz w:val="24"/>
          <w:szCs w:val="24"/>
          <w:lang w:val="uk-UA"/>
        </w:rPr>
        <w:t>междунар</w:t>
      </w:r>
      <w:proofErr w:type="spellEnd"/>
      <w:r w:rsidRPr="00CE31AB">
        <w:rPr>
          <w:rFonts w:ascii="Cambria" w:hAnsi="Cambria"/>
          <w:spacing w:val="-4"/>
          <w:sz w:val="24"/>
          <w:szCs w:val="24"/>
          <w:lang w:val="uk-UA"/>
        </w:rPr>
        <w:t>. науч.-</w:t>
      </w:r>
      <w:proofErr w:type="spellStart"/>
      <w:r w:rsidRPr="00CE31AB">
        <w:rPr>
          <w:rFonts w:ascii="Cambria" w:hAnsi="Cambria"/>
          <w:spacing w:val="-4"/>
          <w:sz w:val="24"/>
          <w:szCs w:val="24"/>
          <w:lang w:val="uk-UA"/>
        </w:rPr>
        <w:t>практ</w:t>
      </w:r>
      <w:proofErr w:type="spellEnd"/>
      <w:r w:rsidRPr="00CE31AB">
        <w:rPr>
          <w:rFonts w:ascii="Cambria" w:hAnsi="Cambria"/>
          <w:spacing w:val="-4"/>
          <w:sz w:val="24"/>
          <w:szCs w:val="24"/>
          <w:lang w:val="uk-UA"/>
        </w:rPr>
        <w:t xml:space="preserve">. </w:t>
      </w:r>
      <w:proofErr w:type="spellStart"/>
      <w:r w:rsidRPr="00CE31AB">
        <w:rPr>
          <w:rFonts w:ascii="Cambria" w:hAnsi="Cambria"/>
          <w:spacing w:val="-4"/>
          <w:sz w:val="24"/>
          <w:szCs w:val="24"/>
          <w:lang w:val="uk-UA"/>
        </w:rPr>
        <w:t>конф</w:t>
      </w:r>
      <w:proofErr w:type="spellEnd"/>
      <w:r w:rsidRPr="00CE31AB">
        <w:rPr>
          <w:rFonts w:ascii="Cambria" w:hAnsi="Cambria"/>
          <w:spacing w:val="-4"/>
          <w:sz w:val="24"/>
          <w:szCs w:val="24"/>
          <w:lang w:val="uk-UA"/>
        </w:rPr>
        <w:t xml:space="preserve">. – </w:t>
      </w:r>
      <w:proofErr w:type="spellStart"/>
      <w:r w:rsidRPr="00CE31AB">
        <w:rPr>
          <w:rFonts w:ascii="Cambria" w:hAnsi="Cambria"/>
          <w:spacing w:val="-4"/>
          <w:sz w:val="24"/>
          <w:szCs w:val="24"/>
          <w:lang w:val="uk-UA"/>
        </w:rPr>
        <w:t>Белгород</w:t>
      </w:r>
      <w:proofErr w:type="spellEnd"/>
      <w:r w:rsidRPr="00CE31AB">
        <w:rPr>
          <w:rFonts w:ascii="Cambria" w:hAnsi="Cambria"/>
          <w:spacing w:val="-4"/>
          <w:sz w:val="24"/>
          <w:szCs w:val="24"/>
          <w:lang w:val="uk-UA"/>
        </w:rPr>
        <w:t>, 2007. – Ч. 12. – С. 122–125.</w:t>
      </w:r>
      <w:bookmarkStart w:id="0" w:name="_GoBack"/>
      <w:bookmarkEnd w:id="0"/>
    </w:p>
    <w:sectPr w:rsidR="00CE31AB" w:rsidRPr="007E2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44883"/>
    <w:multiLevelType w:val="hybridMultilevel"/>
    <w:tmpl w:val="BC6CFA54"/>
    <w:lvl w:ilvl="0" w:tplc="71C2A310">
      <w:start w:val="1"/>
      <w:numFmt w:val="decimal"/>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66"/>
    <w:rsid w:val="00066466"/>
    <w:rsid w:val="003C50FF"/>
    <w:rsid w:val="00CE3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DE914-807E-4EC7-B3AD-DF4498AD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1A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E31AB"/>
    <w:rPr>
      <w:color w:val="0000FF"/>
      <w:u w:val="single"/>
    </w:rPr>
  </w:style>
  <w:style w:type="paragraph" w:styleId="a4">
    <w:name w:val="List Paragraph"/>
    <w:aliases w:val="Основной стиль"/>
    <w:basedOn w:val="a"/>
    <w:link w:val="a5"/>
    <w:uiPriority w:val="34"/>
    <w:qFormat/>
    <w:rsid w:val="00CE31AB"/>
    <w:pPr>
      <w:widowControl/>
      <w:suppressAutoHyphens/>
      <w:spacing w:line="360" w:lineRule="auto"/>
      <w:ind w:left="720" w:firstLine="567"/>
      <w:jc w:val="both"/>
    </w:pPr>
    <w:rPr>
      <w:rFonts w:eastAsia="Calibri"/>
      <w:sz w:val="28"/>
      <w:szCs w:val="22"/>
      <w:lang w:val="uk-UA" w:eastAsia="zh-CN"/>
    </w:rPr>
  </w:style>
  <w:style w:type="character" w:customStyle="1" w:styleId="a5">
    <w:name w:val="Абзац списка Знак"/>
    <w:aliases w:val="Основной стиль Знак"/>
    <w:link w:val="a4"/>
    <w:uiPriority w:val="34"/>
    <w:rsid w:val="00CE31AB"/>
    <w:rPr>
      <w:rFonts w:ascii="Times New Roman" w:eastAsia="Calibri" w:hAnsi="Times New Roman" w:cs="Times New Roman"/>
      <w:sz w:val="28"/>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nicasv@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7878</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2020-05-27T12:50:00Z</dcterms:created>
  <dcterms:modified xsi:type="dcterms:W3CDTF">2020-05-27T12:50:00Z</dcterms:modified>
</cp:coreProperties>
</file>