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13" w:rsidRDefault="001A20AA">
      <w:r>
        <w:t xml:space="preserve">                                                   </w:t>
      </w:r>
      <w:r w:rsidR="00BA3699">
        <w:t xml:space="preserve">                                 </w:t>
      </w:r>
      <w:r>
        <w:t xml:space="preserve"> Трегубенко Галина Петрівна, </w:t>
      </w:r>
    </w:p>
    <w:p w:rsidR="00BA3699" w:rsidRPr="00BA3699" w:rsidRDefault="00BA3699" w:rsidP="00BA3699">
      <w:pPr>
        <w:pStyle w:val="a3"/>
        <w:rPr>
          <w:i/>
        </w:rPr>
      </w:pPr>
      <w:r>
        <w:t xml:space="preserve">                                                  </w:t>
      </w:r>
      <w:r w:rsidRPr="00BA3699">
        <w:rPr>
          <w:i/>
        </w:rPr>
        <w:t xml:space="preserve">Полтавський національний технічний університет </w:t>
      </w:r>
    </w:p>
    <w:p w:rsidR="00BA3699" w:rsidRDefault="00BA3699" w:rsidP="00BA3699">
      <w:pPr>
        <w:pStyle w:val="a3"/>
        <w:rPr>
          <w:i/>
        </w:rPr>
      </w:pPr>
      <w:r w:rsidRPr="00BA3699">
        <w:rPr>
          <w:i/>
        </w:rPr>
        <w:t xml:space="preserve">    </w:t>
      </w:r>
      <w:r>
        <w:rPr>
          <w:i/>
        </w:rPr>
        <w:t xml:space="preserve">                                            </w:t>
      </w:r>
      <w:r w:rsidRPr="00BA3699">
        <w:rPr>
          <w:i/>
        </w:rPr>
        <w:t xml:space="preserve"> імені Юрія Кондратюка, кафедра державного </w:t>
      </w:r>
      <w:r>
        <w:rPr>
          <w:i/>
        </w:rPr>
        <w:t xml:space="preserve"> </w:t>
      </w:r>
    </w:p>
    <w:p w:rsidR="00BA3699" w:rsidRDefault="00BA3699" w:rsidP="00BA3699">
      <w:pPr>
        <w:pStyle w:val="a3"/>
        <w:rPr>
          <w:i/>
        </w:rPr>
      </w:pPr>
      <w:r>
        <w:rPr>
          <w:i/>
        </w:rPr>
        <w:t xml:space="preserve">                                                 </w:t>
      </w:r>
      <w:r w:rsidRPr="00BA3699">
        <w:rPr>
          <w:i/>
        </w:rPr>
        <w:t>управління і права, старший викладач</w:t>
      </w:r>
    </w:p>
    <w:p w:rsidR="00BA3699" w:rsidRDefault="00BA3699" w:rsidP="00BA3699">
      <w:pPr>
        <w:pStyle w:val="a3"/>
        <w:rPr>
          <w:i/>
        </w:rPr>
      </w:pPr>
    </w:p>
    <w:p w:rsidR="00BA3699" w:rsidRDefault="003570F0" w:rsidP="00F845E3">
      <w:pPr>
        <w:pStyle w:val="a3"/>
        <w:jc w:val="center"/>
        <w:rPr>
          <w:b/>
        </w:rPr>
      </w:pPr>
      <w:r>
        <w:rPr>
          <w:b/>
        </w:rPr>
        <w:t>ОРГАНІЗАЦІЙНО-</w:t>
      </w:r>
      <w:r w:rsidR="00F845E3" w:rsidRPr="00F845E3">
        <w:rPr>
          <w:b/>
        </w:rPr>
        <w:t>ПРАВОВИЙ АСПЕКТ УПРАВЛІННЯ ІНТЕЛЕКТУАЛЬНОЮ ВЛАСНІСТЮ В КОНТЕКСТІ ДИСТАНЦІЙНОГО НАВЧАННЯ ДЕРЖАВНИХ СЛУЖБОВЦІВ</w:t>
      </w:r>
    </w:p>
    <w:p w:rsidR="003D2155" w:rsidRDefault="003D2155" w:rsidP="00F845E3">
      <w:pPr>
        <w:pStyle w:val="a3"/>
        <w:jc w:val="center"/>
        <w:rPr>
          <w:b/>
        </w:rPr>
      </w:pPr>
    </w:p>
    <w:p w:rsidR="003D2155" w:rsidRDefault="003D2155" w:rsidP="00382D3E">
      <w:pPr>
        <w:pStyle w:val="a3"/>
        <w:spacing w:line="360" w:lineRule="auto"/>
        <w:ind w:firstLine="709"/>
        <w:jc w:val="both"/>
      </w:pPr>
      <w:r w:rsidRPr="008C5D4A">
        <w:t xml:space="preserve">Однією </w:t>
      </w:r>
      <w:r w:rsidR="001960E3">
        <w:t>і</w:t>
      </w:r>
      <w:r w:rsidRPr="008C5D4A">
        <w:t>з форм підвищення рівня</w:t>
      </w:r>
      <w:r>
        <w:t xml:space="preserve"> професійної компетентності державних службовців в Україні є дистанційне навчання. Як інноваційна, сучасна форма навчання, воно потребує збалансованого забезпечення, дотримання прав та законних інтересів тих суб’єктів, які створюють «продукт навчання»</w:t>
      </w:r>
      <w:r w:rsidR="001960E3">
        <w:t>,</w:t>
      </w:r>
      <w:r w:rsidR="00654D88">
        <w:t xml:space="preserve"> при цьому</w:t>
      </w:r>
      <w:r w:rsidR="001960E3">
        <w:t xml:space="preserve">, </w:t>
      </w:r>
      <w:r w:rsidR="00B17B74">
        <w:t xml:space="preserve">- </w:t>
      </w:r>
      <w:r w:rsidR="00654D88">
        <w:t>не порушуючи прав користувачів</w:t>
      </w:r>
      <w:r w:rsidR="00724EFA">
        <w:t xml:space="preserve"> на якісні освітні послуги</w:t>
      </w:r>
      <w:r>
        <w:t>. Держава надає можливості щодо</w:t>
      </w:r>
      <w:r w:rsidR="00182E4B">
        <w:t xml:space="preserve"> дотримання </w:t>
      </w:r>
      <w:r w:rsidR="00B638A9">
        <w:t>так</w:t>
      </w:r>
      <w:r w:rsidR="00182E4B">
        <w:t>ого взаємозв’язку</w:t>
      </w:r>
      <w:r w:rsidR="00724EFA">
        <w:t xml:space="preserve">, </w:t>
      </w:r>
      <w:r w:rsidR="00B638A9">
        <w:t>який виражається, насамперед, у нормативно-правовому регулюванні.</w:t>
      </w:r>
      <w:r w:rsidR="00A32FE2">
        <w:t xml:space="preserve"> В той же час, існує організаційний аспект, який також потребує врегулювання.</w:t>
      </w:r>
    </w:p>
    <w:p w:rsidR="00147EC8" w:rsidRDefault="008C5D4A" w:rsidP="00382D3E">
      <w:pPr>
        <w:pStyle w:val="a3"/>
        <w:spacing w:line="360" w:lineRule="auto"/>
        <w:ind w:firstLine="709"/>
        <w:jc w:val="both"/>
      </w:pPr>
      <w:r w:rsidRPr="008C5D4A">
        <w:t>Питання управління інтелек</w:t>
      </w:r>
      <w:r>
        <w:t xml:space="preserve">туальною власністю на всіх етапах її життєвого циклу досліджували П.М. Цибульов, В.П. Чеботарьов, </w:t>
      </w:r>
      <w:r w:rsidR="005B422B">
        <w:t>В.Г. Зінов  та інші науковці.</w:t>
      </w:r>
      <w:r w:rsidR="00147EC8">
        <w:t xml:space="preserve"> У застосування технологій дистанційного навчання в системі підвищення кваліфікації працівників ор</w:t>
      </w:r>
      <w:r w:rsidR="00E80206">
        <w:t>ганів державної влади внесок зробили В.Г</w:t>
      </w:r>
      <w:r w:rsidR="00C42833">
        <w:t xml:space="preserve">. Логвінов, О.А. Тертишна, Є.І. </w:t>
      </w:r>
      <w:r w:rsidR="00E80206">
        <w:t>Бородін, П.І. Шевчук та інші. Але потребують подальшого дослідження особливості її впровадження в навчальному комплексі центрів</w:t>
      </w:r>
      <w:r w:rsidR="00EF0878">
        <w:t xml:space="preserve"> </w:t>
      </w:r>
      <w:r w:rsidR="00E80206">
        <w:t xml:space="preserve">перепідготовки </w:t>
      </w:r>
      <w:r w:rsidR="00AE3BCF">
        <w:t>та підвищення кваліфікації працівників органів державної влади, органів місцевого самоврядування, державних підп</w:t>
      </w:r>
      <w:r w:rsidR="00EF0878">
        <w:t>риємств, установ та організацій</w:t>
      </w:r>
      <w:r w:rsidR="00EF0878" w:rsidRPr="00EF0878">
        <w:t xml:space="preserve"> </w:t>
      </w:r>
      <w:r w:rsidR="00EF0878">
        <w:t>(далі – Центрів).</w:t>
      </w:r>
    </w:p>
    <w:p w:rsidR="00C24035" w:rsidRPr="008C5D4A" w:rsidRDefault="00C24035" w:rsidP="00382D3E">
      <w:pPr>
        <w:pStyle w:val="a3"/>
        <w:spacing w:line="360" w:lineRule="auto"/>
        <w:ind w:firstLine="709"/>
        <w:jc w:val="both"/>
      </w:pPr>
      <w:r>
        <w:t>Даний огляд є спробою визначення специфіки управління інтелектуальною власністю в контексті дистанційного навчання державних службовців.</w:t>
      </w:r>
    </w:p>
    <w:p w:rsidR="00EE40E1" w:rsidRDefault="0094485E" w:rsidP="00382D3E">
      <w:pPr>
        <w:pStyle w:val="a3"/>
        <w:spacing w:line="360" w:lineRule="auto"/>
        <w:ind w:firstLine="709"/>
        <w:jc w:val="both"/>
      </w:pPr>
      <w:r w:rsidRPr="00A66FB8">
        <w:t>Процес  дистанційного навчання, в тому числі державних службовців, передбачає використання дистанційних курсів – інформаційних продуктів й комп’ютерних програм [3].</w:t>
      </w:r>
      <w:r w:rsidR="00A66FB8" w:rsidRPr="00A66FB8">
        <w:t xml:space="preserve"> Згідно положень Цивільного кодексу України</w:t>
      </w:r>
      <w:r w:rsidR="004C7951">
        <w:t>,</w:t>
      </w:r>
      <w:bookmarkStart w:id="0" w:name="_GoBack"/>
      <w:bookmarkEnd w:id="0"/>
      <w:r w:rsidR="00A66FB8" w:rsidRPr="00A66FB8">
        <w:t xml:space="preserve"> вони </w:t>
      </w:r>
      <w:r w:rsidR="00A66FB8" w:rsidRPr="00A66FB8">
        <w:lastRenderedPageBreak/>
        <w:t>є об’єктами права інтелектуальної власності [</w:t>
      </w:r>
      <w:r w:rsidR="002721EB">
        <w:t>1, ст.</w:t>
      </w:r>
      <w:r w:rsidR="00A66FB8" w:rsidRPr="00A66FB8">
        <w:t xml:space="preserve">420] й об’єктами </w:t>
      </w:r>
      <w:r w:rsidR="00A66FB8">
        <w:t>авторського права</w:t>
      </w:r>
      <w:r w:rsidR="002721EB">
        <w:t xml:space="preserve"> </w:t>
      </w:r>
      <w:r w:rsidR="00B745F0" w:rsidRPr="00A66FB8">
        <w:t>[</w:t>
      </w:r>
      <w:r w:rsidR="00B745F0">
        <w:t>1, ст. 433</w:t>
      </w:r>
      <w:r w:rsidR="00B745F0" w:rsidRPr="00A66FB8">
        <w:t>]</w:t>
      </w:r>
      <w:r w:rsidR="00B745F0">
        <w:t xml:space="preserve">. Аналогічну норму містить й Закон України «Про авторське право і суміжні права» </w:t>
      </w:r>
      <w:r w:rsidR="00B745F0" w:rsidRPr="00A66FB8">
        <w:t>[</w:t>
      </w:r>
      <w:r w:rsidR="00B745F0">
        <w:t>2, ст. 8</w:t>
      </w:r>
      <w:r w:rsidR="00B745F0" w:rsidRPr="00A66FB8">
        <w:t>]</w:t>
      </w:r>
      <w:r w:rsidR="00B745F0">
        <w:t>.</w:t>
      </w:r>
      <w:r w:rsidR="00AD2A79">
        <w:t xml:space="preserve"> </w:t>
      </w:r>
    </w:p>
    <w:p w:rsidR="008F0069" w:rsidRDefault="00CD360C" w:rsidP="009712E0">
      <w:pPr>
        <w:pStyle w:val="a3"/>
        <w:spacing w:line="360" w:lineRule="auto"/>
        <w:ind w:firstLine="709"/>
        <w:jc w:val="both"/>
      </w:pPr>
      <w:r>
        <w:t xml:space="preserve">З метою врегулювання відносин, які пов’язані з правом власності на результати інтелектуальної діяльності в системі дистанційного навчання та використання інформаційно-комунікаційних технологій у навчальному процесі автори </w:t>
      </w:r>
      <w:r w:rsidR="00D755CD">
        <w:t xml:space="preserve">інформаційних продуктів й комп’ютерних програм та Центри застосовують механізми, визначені чинним законодавством </w:t>
      </w:r>
      <w:r w:rsidR="00D755CD" w:rsidRPr="00A66FB8">
        <w:t>[</w:t>
      </w:r>
      <w:r w:rsidR="00D755CD">
        <w:t>4</w:t>
      </w:r>
      <w:r w:rsidR="00D755CD" w:rsidRPr="00A66FB8">
        <w:t>]</w:t>
      </w:r>
      <w:r w:rsidR="00D755CD">
        <w:t>.</w:t>
      </w:r>
    </w:p>
    <w:p w:rsidR="00EF0878" w:rsidRDefault="0026542E" w:rsidP="00382D3E">
      <w:pPr>
        <w:pStyle w:val="a3"/>
        <w:spacing w:line="360" w:lineRule="auto"/>
        <w:ind w:firstLine="709"/>
        <w:jc w:val="both"/>
      </w:pPr>
      <w:r>
        <w:t>Під час огляду в Інтернет - середовищі</w:t>
      </w:r>
      <w:r w:rsidR="00EF0878" w:rsidRPr="00A26121">
        <w:t xml:space="preserve"> </w:t>
      </w:r>
      <w:r w:rsidR="00AD2A79">
        <w:t xml:space="preserve">стану </w:t>
      </w:r>
      <w:r w:rsidR="00EF0878" w:rsidRPr="00A26121">
        <w:t>організації дистанційних курсів</w:t>
      </w:r>
      <w:r w:rsidR="00EF0878">
        <w:t xml:space="preserve"> </w:t>
      </w:r>
      <w:r>
        <w:t xml:space="preserve">для державних службовців ми дійшли висновку, що </w:t>
      </w:r>
      <w:r w:rsidR="00EF0878">
        <w:t xml:space="preserve">перед слухачами Центрів </w:t>
      </w:r>
      <w:r w:rsidR="00BD423D">
        <w:t xml:space="preserve">постає декілька проблем, які на наш погляд, можуть суттєво вплинути на якість надаваних послуг, а саме: </w:t>
      </w:r>
    </w:p>
    <w:p w:rsidR="000577B8" w:rsidRDefault="007B0609" w:rsidP="002C777E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на </w:t>
      </w:r>
      <w:r w:rsidR="000577B8">
        <w:t>головних сторінках багатьох Центрів практично не подається інформація про авторів курсів, яка на нашу думку, повинна бути загальнодоступною;</w:t>
      </w:r>
    </w:p>
    <w:p w:rsidR="006C1252" w:rsidRDefault="006C1252" w:rsidP="002C777E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>як правило, навчальні програми створюють програмісти, яким часто бракує професіоналізму в галузі знань, яким навчає програма, у той же час, автори, що не є програмістами не завжди можуть створити відповідний «продукт»</w:t>
      </w:r>
      <w:r w:rsidR="002F27DE">
        <w:t xml:space="preserve"> з технологічної точки зору</w:t>
      </w:r>
      <w:r>
        <w:t xml:space="preserve">; </w:t>
      </w:r>
    </w:p>
    <w:p w:rsidR="00875C51" w:rsidRDefault="006C1252" w:rsidP="002C777E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не завжди </w:t>
      </w:r>
      <w:r w:rsidR="007B0609">
        <w:t xml:space="preserve"> </w:t>
      </w:r>
      <w:r>
        <w:t xml:space="preserve">подається передумова до курсів, що позбавляє слухачів можливості </w:t>
      </w:r>
      <w:r w:rsidR="00875C51">
        <w:t>швидк</w:t>
      </w:r>
      <w:r>
        <w:t>о</w:t>
      </w:r>
      <w:r w:rsidR="00875C51">
        <w:t xml:space="preserve"> о</w:t>
      </w:r>
      <w:r>
        <w:t>бирати</w:t>
      </w:r>
      <w:r w:rsidR="00875C51">
        <w:t xml:space="preserve"> необхідний;</w:t>
      </w:r>
    </w:p>
    <w:p w:rsidR="006746B6" w:rsidRDefault="00875C51" w:rsidP="002C777E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>відсутні програми, розраховані н</w:t>
      </w:r>
      <w:r w:rsidR="006746B6">
        <w:t>а різні рівні учасників процесу;</w:t>
      </w:r>
    </w:p>
    <w:p w:rsidR="00AA1970" w:rsidRDefault="006746B6" w:rsidP="002C777E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</w:pPr>
      <w:r>
        <w:t>Центрами застосовуються нові сучасні форми навчання – вебінари, які досі не дістали належного законодавчого закріплення.</w:t>
      </w:r>
      <w:r w:rsidR="00875C51">
        <w:t xml:space="preserve"> </w:t>
      </w:r>
      <w:r w:rsidR="006C1252">
        <w:t xml:space="preserve"> </w:t>
      </w:r>
    </w:p>
    <w:p w:rsidR="00AA1970" w:rsidRDefault="00AA1970" w:rsidP="00AA1970">
      <w:pPr>
        <w:pStyle w:val="a3"/>
        <w:spacing w:line="360" w:lineRule="auto"/>
        <w:ind w:firstLine="709"/>
        <w:jc w:val="both"/>
      </w:pPr>
      <w:r>
        <w:t>Відповідно, шляхами розв’язання цих проблем ми бачимо:</w:t>
      </w:r>
    </w:p>
    <w:p w:rsidR="00AA1970" w:rsidRDefault="00AA1970" w:rsidP="002C777E">
      <w:pPr>
        <w:pStyle w:val="a3"/>
        <w:spacing w:line="360" w:lineRule="auto"/>
        <w:ind w:firstLine="709"/>
        <w:jc w:val="both"/>
      </w:pPr>
      <w:r>
        <w:t xml:space="preserve">1 </w:t>
      </w:r>
      <w:r w:rsidR="006B6D7B">
        <w:t xml:space="preserve"> </w:t>
      </w:r>
      <w:r>
        <w:t xml:space="preserve">– </w:t>
      </w:r>
      <w:r w:rsidR="006B6D7B">
        <w:t xml:space="preserve"> </w:t>
      </w:r>
      <w:r>
        <w:t>стратегія  й «продукти навчання» для державних службовців повинні розроблятися</w:t>
      </w:r>
      <w:r w:rsidR="00D254DA">
        <w:t xml:space="preserve"> висококваліфікованими авторами</w:t>
      </w:r>
      <w:r>
        <w:t xml:space="preserve"> й отримувати статус </w:t>
      </w:r>
      <w:r w:rsidRPr="00A66FB8">
        <w:t>об’єкт</w:t>
      </w:r>
      <w:r>
        <w:t>ів</w:t>
      </w:r>
      <w:r w:rsidRPr="00A66FB8">
        <w:t xml:space="preserve"> права інтелектуальної власності</w:t>
      </w:r>
      <w:r w:rsidR="00D254DA">
        <w:t>;</w:t>
      </w:r>
    </w:p>
    <w:p w:rsidR="00E63ECE" w:rsidRDefault="006B6D7B" w:rsidP="002C777E">
      <w:pPr>
        <w:pStyle w:val="a3"/>
        <w:spacing w:line="360" w:lineRule="auto"/>
        <w:ind w:firstLine="709"/>
        <w:jc w:val="both"/>
      </w:pPr>
      <w:r>
        <w:t xml:space="preserve">2 </w:t>
      </w:r>
      <w:r w:rsidR="00623F92">
        <w:t xml:space="preserve">– </w:t>
      </w:r>
      <w:r w:rsidR="00E63ECE">
        <w:t xml:space="preserve">необхідно постійно оновлювати навчальні матеріали, щоб дистанційний курс не втрачав своєї актуальності, а це в свою чергу,  потребує </w:t>
      </w:r>
      <w:r w:rsidR="00E63ECE">
        <w:lastRenderedPageBreak/>
        <w:t>постійного професійного вдосконалення розробників курсів й надання можливостей для цього державою;</w:t>
      </w:r>
    </w:p>
    <w:p w:rsidR="00623F92" w:rsidRDefault="00E63ECE" w:rsidP="002C777E">
      <w:pPr>
        <w:pStyle w:val="a3"/>
        <w:spacing w:line="360" w:lineRule="auto"/>
        <w:ind w:firstLine="709"/>
        <w:jc w:val="both"/>
      </w:pPr>
      <w:r>
        <w:t xml:space="preserve">3 – при використанні інформаційних технологій </w:t>
      </w:r>
      <w:r w:rsidR="00623F92">
        <w:t xml:space="preserve">до підвищення кваліфікації державних службовців необхідно враховувати особистісні орієнтири слухачів; </w:t>
      </w:r>
    </w:p>
    <w:p w:rsidR="00382D3E" w:rsidRDefault="00E63ECE" w:rsidP="008F0069">
      <w:pPr>
        <w:pStyle w:val="a3"/>
        <w:spacing w:line="360" w:lineRule="auto"/>
        <w:ind w:firstLine="709"/>
        <w:jc w:val="both"/>
      </w:pPr>
      <w:r>
        <w:t xml:space="preserve"> </w:t>
      </w:r>
      <w:r w:rsidR="005617C7">
        <w:t>4 – включення питань управління інтелектуальною власністю до профе</w:t>
      </w:r>
      <w:r w:rsidR="008F0069">
        <w:t>сійних програм навчання.</w:t>
      </w:r>
    </w:p>
    <w:p w:rsidR="006813D8" w:rsidRDefault="008F0069" w:rsidP="00382D3E">
      <w:pPr>
        <w:pStyle w:val="a3"/>
        <w:spacing w:line="360" w:lineRule="auto"/>
        <w:ind w:firstLine="709"/>
        <w:jc w:val="both"/>
      </w:pPr>
      <w:r>
        <w:t xml:space="preserve">Отже, </w:t>
      </w:r>
      <w:r w:rsidR="006813D8">
        <w:t>п</w:t>
      </w:r>
      <w:r w:rsidR="006813D8">
        <w:t>ри створенні й впровадженні навчальних програм за дистанційною формою для державних службовців необхідно враховувати специфічні чинники.</w:t>
      </w:r>
    </w:p>
    <w:p w:rsidR="00046E6F" w:rsidRDefault="006813D8" w:rsidP="00FD6B3E">
      <w:pPr>
        <w:pStyle w:val="a3"/>
        <w:spacing w:line="360" w:lineRule="auto"/>
        <w:ind w:firstLine="709"/>
        <w:jc w:val="both"/>
      </w:pPr>
      <w:r>
        <w:t>П</w:t>
      </w:r>
      <w:r w:rsidR="00B638A9">
        <w:t xml:space="preserve">роцес управління інтелектуальною власністю в Україні регулюється низкою нормативно-правових актів, </w:t>
      </w:r>
      <w:r w:rsidR="00DE2CFD">
        <w:t>що охороняють особисті немайнові права та майнові права суб’єктів авторського права і суміжних прав.</w:t>
      </w:r>
      <w:r w:rsidR="00FD6B3E">
        <w:t xml:space="preserve"> </w:t>
      </w:r>
      <w:r w:rsidR="000E0AEC">
        <w:t>Дотримання організаційно-правової складової</w:t>
      </w:r>
      <w:r w:rsidR="0033593C">
        <w:t xml:space="preserve"> дозволить ефективніше управляти інтелектуальною власністю</w:t>
      </w:r>
      <w:r w:rsidR="00132535">
        <w:t xml:space="preserve"> у цій сфері</w:t>
      </w:r>
      <w:r w:rsidR="0033593C">
        <w:t>.</w:t>
      </w:r>
    </w:p>
    <w:p w:rsidR="006638B5" w:rsidRDefault="006638B5" w:rsidP="00382D3E">
      <w:pPr>
        <w:pStyle w:val="a3"/>
        <w:spacing w:line="360" w:lineRule="auto"/>
        <w:ind w:firstLine="709"/>
        <w:jc w:val="both"/>
      </w:pPr>
    </w:p>
    <w:p w:rsidR="00150ABE" w:rsidRDefault="00150ABE" w:rsidP="00382D3E">
      <w:pPr>
        <w:pStyle w:val="a3"/>
        <w:spacing w:line="360" w:lineRule="auto"/>
        <w:ind w:firstLine="709"/>
        <w:jc w:val="both"/>
      </w:pPr>
    </w:p>
    <w:p w:rsidR="005F0CBE" w:rsidRDefault="005F0CBE" w:rsidP="005F0CBE">
      <w:pPr>
        <w:pStyle w:val="a3"/>
        <w:spacing w:line="360" w:lineRule="auto"/>
        <w:jc w:val="center"/>
        <w:rPr>
          <w:b/>
        </w:rPr>
      </w:pPr>
      <w:r w:rsidRPr="005F0CBE">
        <w:rPr>
          <w:b/>
        </w:rPr>
        <w:t>Література</w:t>
      </w:r>
    </w:p>
    <w:p w:rsidR="005F0CBE" w:rsidRDefault="00EC7A86" w:rsidP="00F670A2">
      <w:pPr>
        <w:pStyle w:val="a3"/>
        <w:numPr>
          <w:ilvl w:val="0"/>
          <w:numId w:val="1"/>
        </w:numPr>
        <w:spacing w:line="360" w:lineRule="auto"/>
        <w:jc w:val="both"/>
      </w:pPr>
      <w:r w:rsidRPr="00EC7A86">
        <w:t xml:space="preserve">Цивільний </w:t>
      </w:r>
      <w:r w:rsidR="007F10EB">
        <w:t xml:space="preserve">кодекс України від 16 січня 2003 р. // Відомості Верховної Ради України. – 2003. </w:t>
      </w:r>
      <w:r w:rsidR="001745EE">
        <w:t xml:space="preserve">– </w:t>
      </w:r>
      <w:r w:rsidR="007F10EB">
        <w:t>№№ 40 –</w:t>
      </w:r>
      <w:r w:rsidR="001745EE">
        <w:t xml:space="preserve"> 44. – Ст. 356.</w:t>
      </w:r>
    </w:p>
    <w:p w:rsidR="00762E45" w:rsidRDefault="00B01A87" w:rsidP="00F670A2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Про авторське право і суміжні права: Закон України від 23 грудня 1993 р. // </w:t>
      </w:r>
      <w:r w:rsidR="00762E45">
        <w:t>Відомості Верховної Ради України. – 1994. – № 13. – Ст. 64.</w:t>
      </w:r>
    </w:p>
    <w:p w:rsidR="00C446DE" w:rsidRPr="00EC7A86" w:rsidRDefault="00795743" w:rsidP="00F670A2">
      <w:pPr>
        <w:pStyle w:val="a3"/>
        <w:numPr>
          <w:ilvl w:val="0"/>
          <w:numId w:val="1"/>
        </w:numPr>
        <w:spacing w:line="360" w:lineRule="auto"/>
        <w:jc w:val="both"/>
      </w:pPr>
      <w:r w:rsidRPr="00795743">
        <w:t>Про затвердження Положення про дистанційне навчання</w:t>
      </w:r>
      <w:r w:rsidR="00166843">
        <w:t xml:space="preserve">: наказ МОН України від 21 січня 2004 р. № 40 </w:t>
      </w:r>
      <w:r w:rsidR="00F670A2" w:rsidRPr="00F670A2">
        <w:rPr>
          <w:szCs w:val="28"/>
        </w:rPr>
        <w:t>[Електронний ресурс] / Режим доступу:</w:t>
      </w:r>
      <w:r w:rsidR="00F670A2">
        <w:rPr>
          <w:sz w:val="24"/>
          <w:szCs w:val="24"/>
        </w:rPr>
        <w:t xml:space="preserve"> </w:t>
      </w:r>
      <w:r w:rsidR="00F670A2" w:rsidRPr="00F670A2">
        <w:t>http://zakon2.rada.gov.ua/laws/show/z0464-04</w:t>
      </w:r>
      <w:r w:rsidR="00F670A2">
        <w:t>.</w:t>
      </w:r>
    </w:p>
    <w:p w:rsidR="005F0CBE" w:rsidRPr="00017DC6" w:rsidRDefault="00504B79" w:rsidP="00FF4AA3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Про державну реєстрацію авторського права і договорів, які стосуються права автора на твір: постанова КМУ від </w:t>
      </w:r>
      <w:r w:rsidRPr="00504B79">
        <w:t xml:space="preserve">27 грудня 2001 р. </w:t>
      </w:r>
      <w:r>
        <w:t>№</w:t>
      </w:r>
      <w:r w:rsidRPr="00504B79">
        <w:t xml:space="preserve"> 1756</w:t>
      </w:r>
      <w:r>
        <w:t xml:space="preserve"> </w:t>
      </w:r>
      <w:r w:rsidRPr="00FF4AA3">
        <w:rPr>
          <w:spacing w:val="-20"/>
          <w:szCs w:val="28"/>
        </w:rPr>
        <w:t xml:space="preserve">[Електронний ресурс] / Режим доступу: </w:t>
      </w:r>
      <w:r w:rsidR="00C577E5" w:rsidRPr="00C577E5">
        <w:rPr>
          <w:szCs w:val="28"/>
        </w:rPr>
        <w:t>http://zakon4.rada.gov.ua/laws/show/1756-2001-%D0%BF</w:t>
      </w:r>
      <w:r w:rsidR="00C577E5">
        <w:rPr>
          <w:szCs w:val="28"/>
        </w:rPr>
        <w:t>.</w:t>
      </w:r>
    </w:p>
    <w:sectPr w:rsidR="005F0CBE" w:rsidRPr="00017DC6" w:rsidSect="00E47A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10DC0"/>
    <w:multiLevelType w:val="hybridMultilevel"/>
    <w:tmpl w:val="A4D29DBE"/>
    <w:lvl w:ilvl="0" w:tplc="5A9EFD2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3D470B"/>
    <w:multiLevelType w:val="hybridMultilevel"/>
    <w:tmpl w:val="B8226428"/>
    <w:lvl w:ilvl="0" w:tplc="CAB63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AA"/>
    <w:rsid w:val="00017DC6"/>
    <w:rsid w:val="00026A75"/>
    <w:rsid w:val="00046E6F"/>
    <w:rsid w:val="000577B8"/>
    <w:rsid w:val="000757FC"/>
    <w:rsid w:val="000C730A"/>
    <w:rsid w:val="000E0AEC"/>
    <w:rsid w:val="00132535"/>
    <w:rsid w:val="00140055"/>
    <w:rsid w:val="00147EC8"/>
    <w:rsid w:val="00150ABE"/>
    <w:rsid w:val="00166843"/>
    <w:rsid w:val="001745EE"/>
    <w:rsid w:val="00182E4B"/>
    <w:rsid w:val="001960E3"/>
    <w:rsid w:val="001A20AA"/>
    <w:rsid w:val="001C4758"/>
    <w:rsid w:val="0026542E"/>
    <w:rsid w:val="002721EB"/>
    <w:rsid w:val="00286510"/>
    <w:rsid w:val="0028765D"/>
    <w:rsid w:val="002C777E"/>
    <w:rsid w:val="002F27DE"/>
    <w:rsid w:val="0033593C"/>
    <w:rsid w:val="003570F0"/>
    <w:rsid w:val="00382D3E"/>
    <w:rsid w:val="003A1225"/>
    <w:rsid w:val="003D2155"/>
    <w:rsid w:val="00406EA6"/>
    <w:rsid w:val="0041166E"/>
    <w:rsid w:val="00461C68"/>
    <w:rsid w:val="00486F71"/>
    <w:rsid w:val="004A0658"/>
    <w:rsid w:val="004C7951"/>
    <w:rsid w:val="00504B79"/>
    <w:rsid w:val="00540487"/>
    <w:rsid w:val="005617C7"/>
    <w:rsid w:val="00574569"/>
    <w:rsid w:val="005B422B"/>
    <w:rsid w:val="005D1413"/>
    <w:rsid w:val="005D3987"/>
    <w:rsid w:val="005E245E"/>
    <w:rsid w:val="005F0CBE"/>
    <w:rsid w:val="00621E32"/>
    <w:rsid w:val="00623F92"/>
    <w:rsid w:val="00654D88"/>
    <w:rsid w:val="006638B5"/>
    <w:rsid w:val="006746B6"/>
    <w:rsid w:val="006813D8"/>
    <w:rsid w:val="006B6D7B"/>
    <w:rsid w:val="006C1252"/>
    <w:rsid w:val="007149BD"/>
    <w:rsid w:val="00724EFA"/>
    <w:rsid w:val="007557A9"/>
    <w:rsid w:val="00762E45"/>
    <w:rsid w:val="007757A2"/>
    <w:rsid w:val="0078336D"/>
    <w:rsid w:val="00795743"/>
    <w:rsid w:val="007B0609"/>
    <w:rsid w:val="007F0E45"/>
    <w:rsid w:val="007F10EB"/>
    <w:rsid w:val="0081718B"/>
    <w:rsid w:val="00836A03"/>
    <w:rsid w:val="00875C51"/>
    <w:rsid w:val="00882337"/>
    <w:rsid w:val="00897919"/>
    <w:rsid w:val="008C5D4A"/>
    <w:rsid w:val="008F0069"/>
    <w:rsid w:val="008F4987"/>
    <w:rsid w:val="0094485E"/>
    <w:rsid w:val="009464A5"/>
    <w:rsid w:val="009712E0"/>
    <w:rsid w:val="00976311"/>
    <w:rsid w:val="00980BAC"/>
    <w:rsid w:val="009F5168"/>
    <w:rsid w:val="00A26121"/>
    <w:rsid w:val="00A32FE2"/>
    <w:rsid w:val="00A41CD3"/>
    <w:rsid w:val="00A66FB8"/>
    <w:rsid w:val="00A71566"/>
    <w:rsid w:val="00AA1970"/>
    <w:rsid w:val="00AD2A79"/>
    <w:rsid w:val="00AE3BCF"/>
    <w:rsid w:val="00B01A87"/>
    <w:rsid w:val="00B17B74"/>
    <w:rsid w:val="00B638A9"/>
    <w:rsid w:val="00B745F0"/>
    <w:rsid w:val="00B769C2"/>
    <w:rsid w:val="00BA3699"/>
    <w:rsid w:val="00BD423D"/>
    <w:rsid w:val="00C04B39"/>
    <w:rsid w:val="00C24035"/>
    <w:rsid w:val="00C26D72"/>
    <w:rsid w:val="00C35255"/>
    <w:rsid w:val="00C42833"/>
    <w:rsid w:val="00C446DE"/>
    <w:rsid w:val="00C50541"/>
    <w:rsid w:val="00C577E5"/>
    <w:rsid w:val="00C57D69"/>
    <w:rsid w:val="00CD360C"/>
    <w:rsid w:val="00CE0A26"/>
    <w:rsid w:val="00D120AB"/>
    <w:rsid w:val="00D254DA"/>
    <w:rsid w:val="00D4341E"/>
    <w:rsid w:val="00D721FE"/>
    <w:rsid w:val="00D755CD"/>
    <w:rsid w:val="00DB5E46"/>
    <w:rsid w:val="00DE2CFD"/>
    <w:rsid w:val="00E47A1B"/>
    <w:rsid w:val="00E63ECE"/>
    <w:rsid w:val="00E80206"/>
    <w:rsid w:val="00E91F0C"/>
    <w:rsid w:val="00EC7A86"/>
    <w:rsid w:val="00EE40E1"/>
    <w:rsid w:val="00EF05E9"/>
    <w:rsid w:val="00EF0878"/>
    <w:rsid w:val="00F30870"/>
    <w:rsid w:val="00F65D67"/>
    <w:rsid w:val="00F670A2"/>
    <w:rsid w:val="00F73E2D"/>
    <w:rsid w:val="00F845E3"/>
    <w:rsid w:val="00FD6B3E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2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699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2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69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6767-F87B-4C29-8229-F9BEF7B7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3418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162</cp:revision>
  <dcterms:created xsi:type="dcterms:W3CDTF">2013-03-12T13:17:00Z</dcterms:created>
  <dcterms:modified xsi:type="dcterms:W3CDTF">2013-03-18T02:59:00Z</dcterms:modified>
</cp:coreProperties>
</file>