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A7F" w:rsidRPr="00320E17" w:rsidRDefault="00963A7F" w:rsidP="00320E17">
      <w:pPr>
        <w:spacing w:after="0" w:line="240" w:lineRule="auto"/>
        <w:ind w:firstLine="567"/>
        <w:rPr>
          <w:rFonts w:ascii="Times New Roman" w:hAnsi="Times New Roman"/>
          <w:b/>
          <w:sz w:val="24"/>
          <w:szCs w:val="24"/>
          <w:lang w:eastAsia="en-US"/>
        </w:rPr>
      </w:pPr>
      <w:r w:rsidRPr="00320E17">
        <w:rPr>
          <w:rFonts w:ascii="Times New Roman" w:hAnsi="Times New Roman"/>
          <w:b/>
          <w:sz w:val="24"/>
          <w:szCs w:val="24"/>
          <w:lang w:eastAsia="en-US"/>
        </w:rPr>
        <w:t>УДК 69.059</w:t>
      </w:r>
    </w:p>
    <w:p w:rsidR="00963A7F" w:rsidRPr="00320E17" w:rsidRDefault="00963A7F" w:rsidP="00320E17">
      <w:pPr>
        <w:spacing w:after="0" w:line="240" w:lineRule="auto"/>
        <w:ind w:firstLine="567"/>
        <w:jc w:val="right"/>
        <w:rPr>
          <w:rFonts w:ascii="Times New Roman" w:hAnsi="Times New Roman"/>
          <w:i/>
          <w:sz w:val="24"/>
          <w:szCs w:val="24"/>
        </w:rPr>
      </w:pPr>
      <w:r w:rsidRPr="00320E17">
        <w:rPr>
          <w:rFonts w:ascii="Times New Roman" w:hAnsi="Times New Roman"/>
          <w:i/>
          <w:sz w:val="24"/>
          <w:szCs w:val="24"/>
          <w:lang w:eastAsia="en-US"/>
        </w:rPr>
        <w:t xml:space="preserve">Пічугін С.Ф., д.т.н., проф., </w:t>
      </w:r>
    </w:p>
    <w:p w:rsidR="00963A7F" w:rsidRPr="00320E17" w:rsidRDefault="00963A7F" w:rsidP="00320E17">
      <w:pPr>
        <w:spacing w:after="0" w:line="240" w:lineRule="auto"/>
        <w:ind w:firstLine="567"/>
        <w:jc w:val="right"/>
        <w:rPr>
          <w:rFonts w:ascii="Times New Roman" w:hAnsi="Times New Roman"/>
          <w:i/>
          <w:sz w:val="24"/>
          <w:szCs w:val="24"/>
          <w:lang w:eastAsia="en-US"/>
        </w:rPr>
      </w:pPr>
      <w:r w:rsidRPr="00320E17">
        <w:rPr>
          <w:rFonts w:ascii="Times New Roman" w:hAnsi="Times New Roman"/>
          <w:i/>
          <w:sz w:val="24"/>
          <w:szCs w:val="24"/>
          <w:lang w:val="en-US"/>
        </w:rPr>
        <w:t>ORSID</w:t>
      </w:r>
      <w:r w:rsidRPr="00320E17">
        <w:rPr>
          <w:rFonts w:ascii="Times New Roman" w:hAnsi="Times New Roman"/>
          <w:i/>
          <w:sz w:val="24"/>
          <w:szCs w:val="24"/>
        </w:rPr>
        <w:t xml:space="preserve"> 0000-0001-8505-2130 </w:t>
      </w:r>
      <w:r w:rsidRPr="00320E17">
        <w:rPr>
          <w:rFonts w:ascii="Times New Roman" w:hAnsi="Times New Roman"/>
          <w:i/>
          <w:sz w:val="24"/>
          <w:szCs w:val="24"/>
          <w:lang w:val="en-US"/>
        </w:rPr>
        <w:t>pichugin</w:t>
      </w:r>
      <w:r w:rsidRPr="00320E17">
        <w:rPr>
          <w:rFonts w:ascii="Times New Roman" w:hAnsi="Times New Roman"/>
          <w:i/>
          <w:sz w:val="24"/>
          <w:szCs w:val="24"/>
        </w:rPr>
        <w:t>.</w:t>
      </w:r>
      <w:r w:rsidRPr="00320E17">
        <w:rPr>
          <w:rFonts w:ascii="Times New Roman" w:hAnsi="Times New Roman"/>
          <w:i/>
          <w:sz w:val="24"/>
          <w:szCs w:val="24"/>
          <w:lang w:val="en-US"/>
        </w:rPr>
        <w:t>sf</w:t>
      </w:r>
      <w:r w:rsidRPr="00320E17">
        <w:rPr>
          <w:rFonts w:ascii="Times New Roman" w:hAnsi="Times New Roman"/>
          <w:i/>
          <w:sz w:val="24"/>
          <w:szCs w:val="24"/>
        </w:rPr>
        <w:t>@</w:t>
      </w:r>
      <w:r w:rsidRPr="00320E17">
        <w:rPr>
          <w:rFonts w:ascii="Times New Roman" w:hAnsi="Times New Roman"/>
          <w:i/>
          <w:sz w:val="24"/>
          <w:szCs w:val="24"/>
          <w:lang w:val="en-US"/>
        </w:rPr>
        <w:t>gmail</w:t>
      </w:r>
      <w:r w:rsidRPr="00320E17">
        <w:rPr>
          <w:rFonts w:ascii="Times New Roman" w:hAnsi="Times New Roman"/>
          <w:i/>
          <w:sz w:val="24"/>
          <w:szCs w:val="24"/>
        </w:rPr>
        <w:t>.</w:t>
      </w:r>
      <w:r w:rsidRPr="00320E17">
        <w:rPr>
          <w:rFonts w:ascii="Times New Roman" w:hAnsi="Times New Roman"/>
          <w:i/>
          <w:sz w:val="24"/>
          <w:szCs w:val="24"/>
          <w:lang w:val="en-US"/>
        </w:rPr>
        <w:t>com</w:t>
      </w:r>
    </w:p>
    <w:p w:rsidR="00963A7F" w:rsidRPr="00320E17" w:rsidRDefault="00963A7F" w:rsidP="00320E17">
      <w:pPr>
        <w:spacing w:after="0" w:line="240" w:lineRule="auto"/>
        <w:ind w:firstLine="567"/>
        <w:jc w:val="right"/>
        <w:rPr>
          <w:rFonts w:ascii="Times New Roman" w:hAnsi="Times New Roman"/>
          <w:i/>
          <w:sz w:val="24"/>
          <w:szCs w:val="24"/>
          <w:lang w:eastAsia="en-US"/>
        </w:rPr>
      </w:pPr>
      <w:r w:rsidRPr="00320E17">
        <w:rPr>
          <w:rFonts w:ascii="Times New Roman" w:hAnsi="Times New Roman"/>
          <w:i/>
          <w:sz w:val="24"/>
          <w:szCs w:val="24"/>
          <w:lang w:eastAsia="en-US"/>
        </w:rPr>
        <w:t xml:space="preserve">Клочко Л.А., аспірантка, </w:t>
      </w:r>
      <w:r w:rsidRPr="00320E17">
        <w:rPr>
          <w:rFonts w:ascii="Times New Roman" w:hAnsi="Times New Roman"/>
          <w:i/>
          <w:sz w:val="24"/>
          <w:szCs w:val="24"/>
          <w:lang w:val="en-US" w:eastAsia="en-US"/>
        </w:rPr>
        <w:t>lina</w:t>
      </w:r>
      <w:r w:rsidRPr="00320E17">
        <w:rPr>
          <w:rFonts w:ascii="Times New Roman" w:hAnsi="Times New Roman"/>
          <w:i/>
          <w:sz w:val="24"/>
          <w:szCs w:val="24"/>
          <w:lang w:eastAsia="en-US"/>
        </w:rPr>
        <w:t>,</w:t>
      </w:r>
      <w:r w:rsidRPr="00320E17">
        <w:rPr>
          <w:rFonts w:ascii="Times New Roman" w:hAnsi="Times New Roman"/>
          <w:i/>
          <w:sz w:val="24"/>
          <w:szCs w:val="24"/>
          <w:lang w:val="en-US" w:eastAsia="en-US"/>
        </w:rPr>
        <w:t>dmitrenko</w:t>
      </w:r>
      <w:r w:rsidRPr="00320E17">
        <w:rPr>
          <w:rFonts w:ascii="Times New Roman" w:hAnsi="Times New Roman"/>
          <w:i/>
          <w:sz w:val="24"/>
          <w:szCs w:val="24"/>
          <w:lang w:eastAsia="en-US"/>
        </w:rPr>
        <w:t>@</w:t>
      </w:r>
      <w:r w:rsidRPr="00320E17">
        <w:rPr>
          <w:rFonts w:ascii="Times New Roman" w:hAnsi="Times New Roman"/>
          <w:i/>
          <w:sz w:val="24"/>
          <w:szCs w:val="24"/>
          <w:lang w:val="en-US" w:eastAsia="en-US"/>
        </w:rPr>
        <w:t>gmail</w:t>
      </w:r>
      <w:r w:rsidRPr="00320E17">
        <w:rPr>
          <w:rFonts w:ascii="Times New Roman" w:hAnsi="Times New Roman"/>
          <w:i/>
          <w:sz w:val="24"/>
          <w:szCs w:val="24"/>
          <w:lang w:eastAsia="en-US"/>
        </w:rPr>
        <w:t>.</w:t>
      </w:r>
      <w:r w:rsidRPr="00320E17">
        <w:rPr>
          <w:rFonts w:ascii="Times New Roman" w:hAnsi="Times New Roman"/>
          <w:i/>
          <w:sz w:val="24"/>
          <w:szCs w:val="24"/>
          <w:lang w:val="en-US" w:eastAsia="en-US"/>
        </w:rPr>
        <w:t>com</w:t>
      </w:r>
    </w:p>
    <w:p w:rsidR="00963A7F" w:rsidRPr="00320E17" w:rsidRDefault="00963A7F" w:rsidP="00320E17">
      <w:pPr>
        <w:spacing w:after="0" w:line="240" w:lineRule="auto"/>
        <w:ind w:firstLine="567"/>
        <w:jc w:val="right"/>
        <w:rPr>
          <w:rFonts w:ascii="Times New Roman" w:hAnsi="Times New Roman"/>
          <w:i/>
          <w:sz w:val="24"/>
          <w:szCs w:val="24"/>
          <w:lang w:val="ru-RU" w:eastAsia="en-US"/>
        </w:rPr>
      </w:pPr>
      <w:r w:rsidRPr="00320E17">
        <w:rPr>
          <w:rFonts w:ascii="Times New Roman" w:hAnsi="Times New Roman"/>
          <w:i/>
          <w:sz w:val="24"/>
          <w:szCs w:val="24"/>
          <w:lang w:eastAsia="en-US"/>
        </w:rPr>
        <w:t>Полтавський національний технічний університет імені Юрія Кондратюка,</w:t>
      </w:r>
    </w:p>
    <w:p w:rsidR="00963A7F" w:rsidRPr="00320E17" w:rsidRDefault="00963A7F" w:rsidP="00320E17">
      <w:pPr>
        <w:spacing w:after="0" w:line="240" w:lineRule="auto"/>
        <w:ind w:firstLine="567"/>
        <w:jc w:val="right"/>
        <w:rPr>
          <w:rFonts w:ascii="Times New Roman" w:hAnsi="Times New Roman"/>
          <w:i/>
          <w:sz w:val="24"/>
          <w:szCs w:val="24"/>
          <w:lang w:eastAsia="en-US"/>
        </w:rPr>
      </w:pPr>
      <w:r w:rsidRPr="00320E17">
        <w:rPr>
          <w:rFonts w:ascii="Times New Roman" w:hAnsi="Times New Roman"/>
          <w:i/>
          <w:sz w:val="24"/>
          <w:szCs w:val="24"/>
          <w:lang w:eastAsia="en-US"/>
        </w:rPr>
        <w:t>м.Полтава, Україна</w:t>
      </w:r>
    </w:p>
    <w:p w:rsidR="00963A7F" w:rsidRPr="00320E17" w:rsidRDefault="00963A7F" w:rsidP="00320E17">
      <w:pPr>
        <w:spacing w:after="0" w:line="240" w:lineRule="auto"/>
        <w:ind w:firstLine="567"/>
        <w:rPr>
          <w:rFonts w:ascii="Times New Roman" w:hAnsi="Times New Roman"/>
          <w:i/>
          <w:sz w:val="24"/>
          <w:szCs w:val="24"/>
          <w:lang w:eastAsia="en-US"/>
        </w:rPr>
      </w:pPr>
    </w:p>
    <w:p w:rsidR="00963A7F" w:rsidRPr="00A9337D" w:rsidRDefault="00963A7F" w:rsidP="00A9337D">
      <w:pPr>
        <w:pStyle w:val="ListParagraph"/>
        <w:ind w:left="567"/>
        <w:jc w:val="center"/>
        <w:rPr>
          <w:b/>
          <w:sz w:val="28"/>
          <w:szCs w:val="28"/>
        </w:rPr>
      </w:pPr>
      <w:r w:rsidRPr="00A9337D">
        <w:rPr>
          <w:b/>
          <w:sz w:val="28"/>
          <w:szCs w:val="28"/>
        </w:rPr>
        <w:t>Питання</w:t>
      </w:r>
      <w:r>
        <w:rPr>
          <w:b/>
          <w:i/>
          <w:sz w:val="24"/>
          <w:szCs w:val="24"/>
        </w:rPr>
        <w:t xml:space="preserve"> </w:t>
      </w:r>
      <w:r w:rsidRPr="00A9337D">
        <w:rPr>
          <w:b/>
          <w:sz w:val="28"/>
          <w:szCs w:val="28"/>
        </w:rPr>
        <w:t>прогресуючого руйнування будівель і споруд</w:t>
      </w:r>
    </w:p>
    <w:p w:rsidR="00963A7F" w:rsidRDefault="00963A7F" w:rsidP="00A9337D">
      <w:pPr>
        <w:pStyle w:val="NoSpacing"/>
        <w:widowControl w:val="0"/>
        <w:ind w:firstLine="567"/>
        <w:jc w:val="center"/>
        <w:rPr>
          <w:rFonts w:ascii="Times New Roman" w:hAnsi="Times New Roman"/>
          <w:b/>
          <w:sz w:val="28"/>
          <w:szCs w:val="28"/>
        </w:rPr>
      </w:pPr>
    </w:p>
    <w:p w:rsidR="00963A7F" w:rsidRPr="007D5B8F" w:rsidRDefault="00963A7F" w:rsidP="000D4A06">
      <w:pPr>
        <w:pStyle w:val="NoSpacing"/>
        <w:widowControl w:val="0"/>
        <w:ind w:firstLine="567"/>
        <w:jc w:val="both"/>
        <w:rPr>
          <w:rFonts w:ascii="Times New Roman" w:hAnsi="Times New Roman"/>
          <w:i/>
          <w:sz w:val="24"/>
          <w:szCs w:val="24"/>
        </w:rPr>
      </w:pPr>
      <w:r w:rsidRPr="000D4A06">
        <w:rPr>
          <w:rFonts w:ascii="Times New Roman" w:hAnsi="Times New Roman"/>
          <w:b/>
          <w:i/>
          <w:sz w:val="24"/>
          <w:szCs w:val="24"/>
        </w:rPr>
        <w:t xml:space="preserve">Анотація. </w:t>
      </w:r>
      <w:r>
        <w:rPr>
          <w:rFonts w:ascii="Times New Roman" w:hAnsi="Times New Roman"/>
          <w:i/>
          <w:sz w:val="24"/>
          <w:szCs w:val="24"/>
        </w:rPr>
        <w:t>Дана стаття представляє розгляд нововведених за</w:t>
      </w:r>
      <w:r w:rsidRPr="00A9337D">
        <w:rPr>
          <w:rFonts w:ascii="Times New Roman" w:hAnsi="Times New Roman"/>
          <w:i/>
          <w:sz w:val="24"/>
          <w:szCs w:val="24"/>
          <w:lang w:val="ru-RU"/>
        </w:rPr>
        <w:t xml:space="preserve"> </w:t>
      </w:r>
      <w:r>
        <w:rPr>
          <w:rFonts w:ascii="Times New Roman" w:hAnsi="Times New Roman"/>
          <w:i/>
          <w:sz w:val="24"/>
          <w:szCs w:val="24"/>
        </w:rPr>
        <w:t xml:space="preserve">кордоном нормативних документів у сфері будівництва із питання прогнозування виникнення імовірної аварії на будівельному об’єкті. Нормування та створення методології такого розрахунку на наш час не має аналогів і було створено вперше. Стаття розкриває найбільш важливі питання збірки правил: </w:t>
      </w:r>
      <w:r w:rsidRPr="007D5B8F">
        <w:rPr>
          <w:rFonts w:ascii="Times New Roman" w:hAnsi="Times New Roman"/>
          <w:i/>
          <w:sz w:val="24"/>
          <w:szCs w:val="24"/>
        </w:rPr>
        <w:t>«</w:t>
      </w:r>
      <w:r>
        <w:rPr>
          <w:rFonts w:ascii="Times New Roman" w:hAnsi="Times New Roman"/>
          <w:i/>
          <w:sz w:val="24"/>
          <w:szCs w:val="24"/>
        </w:rPr>
        <w:t>З</w:t>
      </w:r>
      <w:r w:rsidRPr="007D5B8F">
        <w:rPr>
          <w:rFonts w:ascii="Times New Roman" w:hAnsi="Times New Roman"/>
          <w:i/>
          <w:sz w:val="24"/>
          <w:szCs w:val="24"/>
        </w:rPr>
        <w:t>ахист будівель і споруд від прогресуючого обвалення. Правила проектування»</w:t>
      </w:r>
      <w:r>
        <w:rPr>
          <w:rFonts w:ascii="Times New Roman" w:hAnsi="Times New Roman"/>
          <w:i/>
          <w:sz w:val="24"/>
          <w:szCs w:val="24"/>
        </w:rPr>
        <w:t>, акцентується увага на типах екстремальних навантажень, які підлягають розгляду при проектуванні будівель та споруд в залежності від їх типів та призначення.</w:t>
      </w:r>
    </w:p>
    <w:p w:rsidR="00963A7F" w:rsidRDefault="00963A7F" w:rsidP="000D4A06">
      <w:pPr>
        <w:pStyle w:val="NoSpacing"/>
        <w:widowControl w:val="0"/>
        <w:ind w:firstLine="567"/>
        <w:jc w:val="both"/>
        <w:rPr>
          <w:rFonts w:ascii="Times New Roman" w:hAnsi="Times New Roman"/>
          <w:i/>
          <w:sz w:val="24"/>
          <w:szCs w:val="24"/>
        </w:rPr>
      </w:pPr>
      <w:r>
        <w:rPr>
          <w:rFonts w:ascii="Times New Roman" w:hAnsi="Times New Roman"/>
          <w:b/>
          <w:i/>
          <w:sz w:val="24"/>
          <w:szCs w:val="24"/>
        </w:rPr>
        <w:t xml:space="preserve">Ключові слова: </w:t>
      </w:r>
      <w:r>
        <w:rPr>
          <w:rFonts w:ascii="Times New Roman" w:hAnsi="Times New Roman"/>
          <w:i/>
          <w:sz w:val="24"/>
          <w:szCs w:val="24"/>
        </w:rPr>
        <w:t>аварія, прогресуюче руйнування, аварійна ситуація, методологія розрахунку, збірка правил, будівельні норми</w:t>
      </w:r>
    </w:p>
    <w:p w:rsidR="00963A7F" w:rsidRPr="000D4A06" w:rsidRDefault="00963A7F" w:rsidP="000D4A06">
      <w:pPr>
        <w:pStyle w:val="NoSpacing"/>
        <w:widowControl w:val="0"/>
        <w:ind w:firstLine="567"/>
        <w:jc w:val="both"/>
        <w:rPr>
          <w:rFonts w:ascii="Times New Roman" w:hAnsi="Times New Roman"/>
          <w:i/>
          <w:sz w:val="24"/>
          <w:szCs w:val="24"/>
        </w:rPr>
      </w:pPr>
    </w:p>
    <w:p w:rsidR="00963A7F" w:rsidRDefault="00963A7F" w:rsidP="00320E17">
      <w:pPr>
        <w:spacing w:after="0" w:line="240" w:lineRule="auto"/>
        <w:ind w:firstLine="567"/>
        <w:jc w:val="both"/>
        <w:rPr>
          <w:rFonts w:ascii="Times New Roman" w:hAnsi="Times New Roman"/>
          <w:sz w:val="24"/>
          <w:szCs w:val="24"/>
        </w:rPr>
      </w:pPr>
      <w:r w:rsidRPr="00320E17">
        <w:rPr>
          <w:rFonts w:ascii="Times New Roman" w:hAnsi="Times New Roman"/>
          <w:b/>
          <w:sz w:val="24"/>
          <w:szCs w:val="24"/>
        </w:rPr>
        <w:t>Вступ.</w:t>
      </w:r>
      <w:r w:rsidRPr="00320E17">
        <w:rPr>
          <w:rFonts w:ascii="Times New Roman" w:hAnsi="Times New Roman"/>
          <w:sz w:val="24"/>
          <w:szCs w:val="24"/>
        </w:rPr>
        <w:t xml:space="preserve"> </w:t>
      </w:r>
      <w:r>
        <w:rPr>
          <w:rFonts w:ascii="Times New Roman" w:hAnsi="Times New Roman"/>
          <w:sz w:val="24"/>
          <w:szCs w:val="24"/>
        </w:rPr>
        <w:t>Питання причин виникнення аварій будинків і споруд є досить актуальним в сучасних умовах. Варто зазначити, що все більша увага в наш час починає приділятися саме питанням створення статистики виникнення аварійних ситуацій та їх ретельного аналізу. За мету ставиться визначення класифікації виникнення аварій у будівництві та створення методології розрахунку сценарію імовірного виникнення аварійної ситуації на об’єкті, який споруджується.</w:t>
      </w:r>
    </w:p>
    <w:p w:rsidR="00963A7F" w:rsidRDefault="00963A7F" w:rsidP="00320E17">
      <w:pPr>
        <w:spacing w:after="0" w:line="240" w:lineRule="auto"/>
        <w:ind w:firstLine="567"/>
        <w:jc w:val="both"/>
        <w:rPr>
          <w:rFonts w:ascii="Times New Roman" w:hAnsi="Times New Roman"/>
          <w:sz w:val="24"/>
          <w:szCs w:val="24"/>
        </w:rPr>
      </w:pPr>
      <w:r>
        <w:rPr>
          <w:rFonts w:ascii="Times New Roman" w:hAnsi="Times New Roman"/>
          <w:sz w:val="24"/>
          <w:szCs w:val="24"/>
        </w:rPr>
        <w:t>При цьому виникають такі поняття, як економічні та неекономічні наслідки під час аварій будівель і споруд для відповідного об’єкта. Якщо перше поняття досить поширене, мова про економічні наслідки ведеться досить давно і їх розрахунок затверджений державними будівельними норами, то неекономічні наслідки ще не мають чіткого алгоритму розрахунку.</w:t>
      </w:r>
    </w:p>
    <w:p w:rsidR="00963A7F" w:rsidRDefault="00963A7F" w:rsidP="00320E17">
      <w:pPr>
        <w:spacing w:after="0" w:line="240" w:lineRule="auto"/>
        <w:ind w:firstLine="567"/>
        <w:jc w:val="both"/>
        <w:rPr>
          <w:rFonts w:ascii="Times New Roman" w:hAnsi="Times New Roman"/>
          <w:sz w:val="24"/>
          <w:szCs w:val="24"/>
        </w:rPr>
      </w:pPr>
      <w:r>
        <w:rPr>
          <w:rFonts w:ascii="Times New Roman" w:hAnsi="Times New Roman"/>
          <w:sz w:val="24"/>
          <w:szCs w:val="24"/>
        </w:rPr>
        <w:t>Виходячи із всього вище перерахованого, важливо зазначити той факт, що головна мета при введенні всіх цих понять і тверджень, – створення у процесі проектування будівельного об’єкту чіткої методології проведення аналізу імовірного виникнення аварії. Цілі такого розрахунку – аналіз найбільш вразливих ділянок конструкцій під час руйнування та усунення недоліків на етапі зведення будівлі, за необхідності їх підсилення. Результатом проведених вишукувань слугуватиме міцність та живучість будівлі при різних типах навантажень. Варто зазначити, що такі розрахунки включатимуть різноманітні впливи на конструкцію, навіть імовірність виникнення терористичного акту.</w:t>
      </w:r>
    </w:p>
    <w:p w:rsidR="00963A7F" w:rsidRDefault="00963A7F" w:rsidP="00320E17">
      <w:pPr>
        <w:spacing w:after="0" w:line="240" w:lineRule="auto"/>
        <w:ind w:firstLine="567"/>
        <w:jc w:val="both"/>
        <w:rPr>
          <w:rFonts w:ascii="Times New Roman" w:hAnsi="Times New Roman"/>
          <w:sz w:val="24"/>
          <w:szCs w:val="24"/>
        </w:rPr>
      </w:pPr>
      <w:r>
        <w:rPr>
          <w:rFonts w:ascii="Times New Roman" w:hAnsi="Times New Roman"/>
          <w:sz w:val="24"/>
          <w:szCs w:val="24"/>
        </w:rPr>
        <w:t>Необхідність створення методології розрахунку аварійної ситуації виявляється не тільки в Україні, а і по всьому світу. Закордонні колеги уже не тільки</w:t>
      </w:r>
      <w:bookmarkStart w:id="0" w:name="_GoBack"/>
      <w:bookmarkEnd w:id="0"/>
      <w:r>
        <w:rPr>
          <w:rFonts w:ascii="Times New Roman" w:hAnsi="Times New Roman"/>
          <w:sz w:val="24"/>
          <w:szCs w:val="24"/>
        </w:rPr>
        <w:t xml:space="preserve"> пропонують варіанти вирішення цього питання, але і створюють та затверджують на державному рівні будівельні норми з приводу питання захисту будівель та споруд від прогресуючого обвалення.</w:t>
      </w:r>
    </w:p>
    <w:p w:rsidR="00963A7F" w:rsidRDefault="00963A7F" w:rsidP="00320E17">
      <w:pPr>
        <w:spacing w:after="0" w:line="240" w:lineRule="auto"/>
        <w:ind w:firstLine="567"/>
        <w:jc w:val="both"/>
        <w:rPr>
          <w:rFonts w:ascii="Times New Roman" w:hAnsi="Times New Roman"/>
          <w:sz w:val="24"/>
          <w:szCs w:val="24"/>
        </w:rPr>
      </w:pPr>
    </w:p>
    <w:p w:rsidR="00963A7F" w:rsidRPr="008F161E" w:rsidRDefault="00963A7F" w:rsidP="008F161E">
      <w:pPr>
        <w:pStyle w:val="ListParagraph"/>
        <w:ind w:left="0" w:firstLine="567"/>
        <w:jc w:val="both"/>
        <w:rPr>
          <w:sz w:val="24"/>
          <w:szCs w:val="24"/>
        </w:rPr>
      </w:pPr>
      <w:r w:rsidRPr="008F161E">
        <w:rPr>
          <w:b/>
          <w:sz w:val="24"/>
          <w:szCs w:val="24"/>
        </w:rPr>
        <w:t xml:space="preserve">Закордонні приклади законодавчої бази для розрахунку прогресуючого руйнування будівель і споруд. </w:t>
      </w:r>
      <w:r w:rsidRPr="008F161E">
        <w:rPr>
          <w:sz w:val="24"/>
          <w:szCs w:val="24"/>
        </w:rPr>
        <w:t>Яскравим прикладом створення законодавчої бази для розрахунку прогресуючого обрушення є перша редакція збірки правил, під назвою «Захист будівель і споруд від прогресуючого обвалення. Правила проектування»</w:t>
      </w:r>
      <w:r>
        <w:rPr>
          <w:sz w:val="24"/>
          <w:szCs w:val="24"/>
        </w:rPr>
        <w:t xml:space="preserve"> [1]</w:t>
      </w:r>
      <w:r w:rsidRPr="008F161E">
        <w:rPr>
          <w:sz w:val="24"/>
          <w:szCs w:val="24"/>
        </w:rPr>
        <w:t>.</w:t>
      </w:r>
    </w:p>
    <w:p w:rsidR="00963A7F" w:rsidRDefault="00963A7F" w:rsidP="00320E17">
      <w:pPr>
        <w:spacing w:after="0" w:line="240" w:lineRule="auto"/>
        <w:ind w:firstLine="567"/>
        <w:jc w:val="both"/>
        <w:rPr>
          <w:rFonts w:ascii="Times New Roman" w:hAnsi="Times New Roman"/>
          <w:sz w:val="24"/>
          <w:szCs w:val="24"/>
        </w:rPr>
      </w:pPr>
      <w:r>
        <w:rPr>
          <w:rFonts w:ascii="Times New Roman" w:hAnsi="Times New Roman"/>
          <w:sz w:val="24"/>
          <w:szCs w:val="24"/>
        </w:rPr>
        <w:t>Даний документ викликає велику зацікавленість в наш час, так як він один із перших презентує методологію проведення моделювання та аналізу імовірності виникнення аварійної ситуації на будівельному об’єкті.</w:t>
      </w:r>
    </w:p>
    <w:p w:rsidR="00963A7F" w:rsidRDefault="00963A7F" w:rsidP="00320E17">
      <w:pPr>
        <w:spacing w:after="0" w:line="240" w:lineRule="auto"/>
        <w:ind w:firstLine="567"/>
        <w:jc w:val="both"/>
        <w:rPr>
          <w:rFonts w:ascii="Times New Roman" w:hAnsi="Times New Roman"/>
          <w:sz w:val="24"/>
          <w:szCs w:val="24"/>
        </w:rPr>
      </w:pPr>
      <w:r>
        <w:rPr>
          <w:rFonts w:ascii="Times New Roman" w:hAnsi="Times New Roman"/>
          <w:sz w:val="24"/>
          <w:szCs w:val="24"/>
        </w:rPr>
        <w:t>Розглянемо більш детально його структуру та зміст. Збірка правил була розроблена вперше і вміщує в собі пояснення щодо області застосування даного документа, нормативні посилання та загальні вимоги використання. Також зазначається, що використання даного документа дасть змогу оптимізувати витрати при проектуванні, будівництві та експлуатації об’єктів промислового та нормального рівнів відповідальності та підвищити їх механічну безпечність.</w:t>
      </w:r>
    </w:p>
    <w:p w:rsidR="00963A7F" w:rsidRDefault="00963A7F" w:rsidP="00320E17">
      <w:pPr>
        <w:spacing w:after="0" w:line="240" w:lineRule="auto"/>
        <w:ind w:firstLine="567"/>
        <w:jc w:val="both"/>
        <w:rPr>
          <w:rFonts w:ascii="Times New Roman" w:hAnsi="Times New Roman"/>
          <w:sz w:val="24"/>
          <w:szCs w:val="24"/>
        </w:rPr>
      </w:pPr>
      <w:r>
        <w:rPr>
          <w:rFonts w:ascii="Times New Roman" w:hAnsi="Times New Roman"/>
          <w:sz w:val="24"/>
          <w:szCs w:val="24"/>
        </w:rPr>
        <w:t>Д</w:t>
      </w:r>
      <w:r w:rsidRPr="00FC74A2">
        <w:rPr>
          <w:rFonts w:ascii="Times New Roman" w:hAnsi="Times New Roman"/>
          <w:sz w:val="24"/>
          <w:szCs w:val="24"/>
        </w:rPr>
        <w:t xml:space="preserve">ля будівель і споруд, в тому числі підвищеного рівня відповідальності, відповідно необхідно забезпечити таку міцність і стійкість, щоб в процесі будівництва і експлуатації не виникало загрози заподіяння шкоди життю або здоров'ю людей, майну та </w:t>
      </w:r>
      <w:r>
        <w:rPr>
          <w:rFonts w:ascii="Times New Roman" w:hAnsi="Times New Roman"/>
          <w:sz w:val="24"/>
          <w:szCs w:val="24"/>
        </w:rPr>
        <w:t>ін..</w:t>
      </w:r>
      <w:r w:rsidRPr="00FC74A2">
        <w:rPr>
          <w:rFonts w:ascii="Times New Roman" w:hAnsi="Times New Roman"/>
          <w:sz w:val="24"/>
          <w:szCs w:val="24"/>
        </w:rPr>
        <w:t xml:space="preserve"> в результаті: руйнування окремих несучих будівельних конструкцій або їх частин; руйнування всієї будівлі, споруди або їх частин; неприпустим</w:t>
      </w:r>
      <w:r>
        <w:rPr>
          <w:rFonts w:ascii="Times New Roman" w:hAnsi="Times New Roman"/>
          <w:sz w:val="24"/>
          <w:szCs w:val="24"/>
        </w:rPr>
        <w:t>і</w:t>
      </w:r>
      <w:r w:rsidRPr="00FC74A2">
        <w:rPr>
          <w:rFonts w:ascii="Times New Roman" w:hAnsi="Times New Roman"/>
          <w:sz w:val="24"/>
          <w:szCs w:val="24"/>
        </w:rPr>
        <w:t xml:space="preserve"> деформації будівельних конструкцій, </w:t>
      </w:r>
      <w:r>
        <w:rPr>
          <w:rFonts w:ascii="Times New Roman" w:hAnsi="Times New Roman"/>
          <w:sz w:val="24"/>
          <w:szCs w:val="24"/>
        </w:rPr>
        <w:t>основ</w:t>
      </w:r>
      <w:r w:rsidRPr="00FC74A2">
        <w:rPr>
          <w:rFonts w:ascii="Times New Roman" w:hAnsi="Times New Roman"/>
          <w:sz w:val="24"/>
          <w:szCs w:val="24"/>
        </w:rPr>
        <w:t xml:space="preserve"> будівлі або споруди і геологічних масивів прилеглої території; пошкодження частини будівлі або споруди, мереж інженерно-технічного забезпечення або систем інженерно-технічного забезпечення в результаті деформації, переміщень або втрати стійкості несучих будівельних конструкцій, в тому числі відхилень від вертикальності. Введення зводу правил в практику проектування відповідальних об'єктів </w:t>
      </w:r>
      <w:r>
        <w:rPr>
          <w:rFonts w:ascii="Times New Roman" w:hAnsi="Times New Roman"/>
          <w:sz w:val="24"/>
          <w:szCs w:val="24"/>
        </w:rPr>
        <w:t>відкривають</w:t>
      </w:r>
      <w:r w:rsidRPr="00FC74A2">
        <w:rPr>
          <w:rFonts w:ascii="Times New Roman" w:hAnsi="Times New Roman"/>
          <w:sz w:val="24"/>
          <w:szCs w:val="24"/>
        </w:rPr>
        <w:t xml:space="preserve"> </w:t>
      </w:r>
      <w:r>
        <w:rPr>
          <w:rFonts w:ascii="Times New Roman" w:hAnsi="Times New Roman"/>
          <w:sz w:val="24"/>
          <w:szCs w:val="24"/>
        </w:rPr>
        <w:t xml:space="preserve">можливість </w:t>
      </w:r>
      <w:r w:rsidRPr="00FC74A2">
        <w:rPr>
          <w:rFonts w:ascii="Times New Roman" w:hAnsi="Times New Roman"/>
          <w:sz w:val="24"/>
          <w:szCs w:val="24"/>
        </w:rPr>
        <w:t>перетворити загальні вимоги технічного регламенту «Про безпеку будівель і споруд» в конкретні технічні вимоги, виконання яких забезпечить безпеку проектованих, споруджуваних і експлуатованих об'єктів при аварійних впливах. Розробка стандарту, який встановлює захист будівель і споруд від прогресуючого обвалення і безпеку людей, що знаходяться в них, має найважливіше соціальне значення</w:t>
      </w:r>
      <w:r>
        <w:rPr>
          <w:rFonts w:ascii="Times New Roman" w:hAnsi="Times New Roman"/>
          <w:sz w:val="24"/>
          <w:szCs w:val="24"/>
        </w:rPr>
        <w:t xml:space="preserve"> </w:t>
      </w:r>
      <w:r w:rsidRPr="00FC74A2">
        <w:rPr>
          <w:rFonts w:ascii="Times New Roman" w:hAnsi="Times New Roman"/>
          <w:sz w:val="24"/>
          <w:szCs w:val="24"/>
          <w:lang w:val="ru-RU"/>
        </w:rPr>
        <w:t>[1]</w:t>
      </w:r>
      <w:r w:rsidRPr="00FC74A2">
        <w:rPr>
          <w:rFonts w:ascii="Times New Roman" w:hAnsi="Times New Roman"/>
          <w:sz w:val="24"/>
          <w:szCs w:val="24"/>
        </w:rPr>
        <w:t>.</w:t>
      </w:r>
    </w:p>
    <w:p w:rsidR="00963A7F" w:rsidRDefault="00963A7F" w:rsidP="00320E17">
      <w:pPr>
        <w:spacing w:after="0" w:line="240" w:lineRule="auto"/>
        <w:ind w:firstLine="567"/>
        <w:jc w:val="both"/>
        <w:rPr>
          <w:rFonts w:ascii="Times New Roman" w:hAnsi="Times New Roman"/>
          <w:sz w:val="24"/>
          <w:szCs w:val="24"/>
        </w:rPr>
      </w:pPr>
      <w:r>
        <w:rPr>
          <w:rFonts w:ascii="Times New Roman" w:hAnsi="Times New Roman"/>
          <w:sz w:val="24"/>
          <w:szCs w:val="24"/>
        </w:rPr>
        <w:t>У документі зазначається, що при розрахунку будівель та споруд на особливі впливи розрахункові міцнісні та деформаційні характеристики матеріалів приймають рівними їх нормативним значенням згідно діючим нормам.</w:t>
      </w:r>
    </w:p>
    <w:p w:rsidR="00963A7F" w:rsidRDefault="00963A7F" w:rsidP="00320E17">
      <w:pPr>
        <w:spacing w:after="0" w:line="240" w:lineRule="auto"/>
        <w:ind w:firstLine="567"/>
        <w:jc w:val="both"/>
        <w:rPr>
          <w:rFonts w:ascii="Times New Roman" w:hAnsi="Times New Roman"/>
          <w:sz w:val="24"/>
          <w:szCs w:val="24"/>
        </w:rPr>
      </w:pPr>
      <w:r>
        <w:rPr>
          <w:rFonts w:ascii="Times New Roman" w:hAnsi="Times New Roman"/>
          <w:sz w:val="24"/>
          <w:szCs w:val="24"/>
        </w:rPr>
        <w:t>При дії проектних та аварійних особливих впливів максимально допустиму площу локального руйнування несучих конструкцій визначають наступним чином:</w:t>
      </w:r>
    </w:p>
    <w:p w:rsidR="00963A7F" w:rsidRDefault="00963A7F" w:rsidP="00FC74A2">
      <w:pPr>
        <w:pStyle w:val="ListParagraph"/>
        <w:numPr>
          <w:ilvl w:val="0"/>
          <w:numId w:val="3"/>
        </w:numPr>
        <w:jc w:val="both"/>
        <w:rPr>
          <w:sz w:val="24"/>
          <w:szCs w:val="24"/>
        </w:rPr>
      </w:pPr>
      <w:r>
        <w:rPr>
          <w:sz w:val="24"/>
          <w:szCs w:val="24"/>
        </w:rPr>
        <w:t xml:space="preserve">для будівель висотою менше </w:t>
      </w:r>
      <w:smartTag w:uri="urn:schemas-microsoft-com:office:smarttags" w:element="metricconverter">
        <w:smartTagPr>
          <w:attr w:name="ProductID" w:val="75 м"/>
        </w:smartTagPr>
        <w:r>
          <w:rPr>
            <w:sz w:val="24"/>
            <w:szCs w:val="24"/>
          </w:rPr>
          <w:t>75 м</w:t>
        </w:r>
      </w:smartTag>
      <w:r>
        <w:rPr>
          <w:sz w:val="24"/>
          <w:szCs w:val="24"/>
        </w:rPr>
        <w:t xml:space="preserve"> – до </w:t>
      </w:r>
      <w:smartTag w:uri="urn:schemas-microsoft-com:office:smarttags" w:element="metricconverter">
        <w:smartTagPr>
          <w:attr w:name="ProductID" w:val="40 м2"/>
        </w:smartTagPr>
        <w:r>
          <w:rPr>
            <w:sz w:val="24"/>
            <w:szCs w:val="24"/>
          </w:rPr>
          <w:t>40 м</w:t>
        </w:r>
        <w:r w:rsidRPr="00FC74A2">
          <w:rPr>
            <w:sz w:val="24"/>
            <w:szCs w:val="24"/>
            <w:vertAlign w:val="superscript"/>
          </w:rPr>
          <w:t>2</w:t>
        </w:r>
      </w:smartTag>
      <w:r>
        <w:rPr>
          <w:sz w:val="24"/>
          <w:szCs w:val="24"/>
        </w:rPr>
        <w:t>;</w:t>
      </w:r>
    </w:p>
    <w:p w:rsidR="00963A7F" w:rsidRDefault="00963A7F" w:rsidP="00FC74A2">
      <w:pPr>
        <w:pStyle w:val="ListParagraph"/>
        <w:numPr>
          <w:ilvl w:val="0"/>
          <w:numId w:val="3"/>
        </w:numPr>
        <w:jc w:val="both"/>
        <w:rPr>
          <w:sz w:val="24"/>
          <w:szCs w:val="24"/>
        </w:rPr>
      </w:pPr>
      <w:r>
        <w:rPr>
          <w:sz w:val="24"/>
          <w:szCs w:val="24"/>
        </w:rPr>
        <w:t xml:space="preserve">для будівель висотою від 75 до </w:t>
      </w:r>
      <w:smartTag w:uri="urn:schemas-microsoft-com:office:smarttags" w:element="metricconverter">
        <w:smartTagPr>
          <w:attr w:name="ProductID" w:val="200 м"/>
        </w:smartTagPr>
        <w:r>
          <w:rPr>
            <w:sz w:val="24"/>
            <w:szCs w:val="24"/>
          </w:rPr>
          <w:t>200 м</w:t>
        </w:r>
      </w:smartTag>
      <w:r>
        <w:rPr>
          <w:sz w:val="24"/>
          <w:szCs w:val="24"/>
        </w:rPr>
        <w:t xml:space="preserve"> – до </w:t>
      </w:r>
      <w:smartTag w:uri="urn:schemas-microsoft-com:office:smarttags" w:element="metricconverter">
        <w:smartTagPr>
          <w:attr w:name="ProductID" w:val="80 м2"/>
        </w:smartTagPr>
        <w:r>
          <w:rPr>
            <w:sz w:val="24"/>
            <w:szCs w:val="24"/>
          </w:rPr>
          <w:t>80 м</w:t>
        </w:r>
        <w:r w:rsidRPr="00FC74A2">
          <w:rPr>
            <w:sz w:val="24"/>
            <w:szCs w:val="24"/>
            <w:vertAlign w:val="superscript"/>
          </w:rPr>
          <w:t>2</w:t>
        </w:r>
      </w:smartTag>
      <w:r>
        <w:rPr>
          <w:sz w:val="24"/>
          <w:szCs w:val="24"/>
        </w:rPr>
        <w:t>;</w:t>
      </w:r>
    </w:p>
    <w:p w:rsidR="00963A7F" w:rsidRDefault="00963A7F" w:rsidP="00FC74A2">
      <w:pPr>
        <w:pStyle w:val="ListParagraph"/>
        <w:numPr>
          <w:ilvl w:val="0"/>
          <w:numId w:val="3"/>
        </w:numPr>
        <w:jc w:val="both"/>
        <w:rPr>
          <w:sz w:val="24"/>
          <w:szCs w:val="24"/>
        </w:rPr>
      </w:pPr>
      <w:r>
        <w:rPr>
          <w:sz w:val="24"/>
          <w:szCs w:val="24"/>
        </w:rPr>
        <w:t xml:space="preserve">для будівель висотою більше </w:t>
      </w:r>
      <w:smartTag w:uri="urn:schemas-microsoft-com:office:smarttags" w:element="metricconverter">
        <w:smartTagPr>
          <w:attr w:name="ProductID" w:val="200 м"/>
        </w:smartTagPr>
        <w:r>
          <w:rPr>
            <w:sz w:val="24"/>
            <w:szCs w:val="24"/>
          </w:rPr>
          <w:t>200 м</w:t>
        </w:r>
      </w:smartTag>
      <w:r>
        <w:rPr>
          <w:sz w:val="24"/>
          <w:szCs w:val="24"/>
        </w:rPr>
        <w:t xml:space="preserve"> – до </w:t>
      </w:r>
      <w:smartTag w:uri="urn:schemas-microsoft-com:office:smarttags" w:element="metricconverter">
        <w:smartTagPr>
          <w:attr w:name="ProductID" w:val="100 м2"/>
        </w:smartTagPr>
        <w:r>
          <w:rPr>
            <w:sz w:val="24"/>
            <w:szCs w:val="24"/>
          </w:rPr>
          <w:t>100 м</w:t>
        </w:r>
        <w:r w:rsidRPr="00FC74A2">
          <w:rPr>
            <w:sz w:val="24"/>
            <w:szCs w:val="24"/>
            <w:vertAlign w:val="superscript"/>
          </w:rPr>
          <w:t>2</w:t>
        </w:r>
      </w:smartTag>
      <w:r>
        <w:rPr>
          <w:sz w:val="24"/>
          <w:szCs w:val="24"/>
        </w:rPr>
        <w:t>;</w:t>
      </w:r>
    </w:p>
    <w:p w:rsidR="00963A7F" w:rsidRDefault="00963A7F" w:rsidP="00FC74A2">
      <w:pPr>
        <w:pStyle w:val="ListParagraph"/>
        <w:numPr>
          <w:ilvl w:val="0"/>
          <w:numId w:val="3"/>
        </w:numPr>
        <w:jc w:val="both"/>
        <w:rPr>
          <w:sz w:val="24"/>
          <w:szCs w:val="24"/>
        </w:rPr>
      </w:pPr>
      <w:r>
        <w:rPr>
          <w:sz w:val="24"/>
          <w:szCs w:val="24"/>
        </w:rPr>
        <w:t>для інших споруд – згідно завданняі на проектування в залежності від типу споруди.</w:t>
      </w:r>
    </w:p>
    <w:p w:rsidR="00963A7F" w:rsidRDefault="00963A7F" w:rsidP="004C7CDF">
      <w:pPr>
        <w:spacing w:after="0" w:line="240" w:lineRule="auto"/>
        <w:ind w:firstLine="567"/>
        <w:jc w:val="both"/>
        <w:rPr>
          <w:rFonts w:ascii="Times New Roman" w:hAnsi="Times New Roman"/>
          <w:sz w:val="24"/>
          <w:szCs w:val="24"/>
        </w:rPr>
      </w:pPr>
      <w:r w:rsidRPr="004C7CDF">
        <w:rPr>
          <w:rFonts w:ascii="Times New Roman" w:hAnsi="Times New Roman"/>
          <w:sz w:val="24"/>
          <w:szCs w:val="24"/>
        </w:rPr>
        <w:t>При розрахунках на прогресуюче обвалення площа локального руйнування (площа, з якої видаляються несучі конструктивні елементи) не повинна перевищувати допустиму площу, яка вказана вище.</w:t>
      </w:r>
    </w:p>
    <w:p w:rsidR="00963A7F" w:rsidRDefault="00963A7F" w:rsidP="004C7CDF">
      <w:pPr>
        <w:spacing w:after="0" w:line="240" w:lineRule="auto"/>
        <w:ind w:firstLine="567"/>
        <w:jc w:val="both"/>
        <w:rPr>
          <w:rFonts w:ascii="Times New Roman" w:hAnsi="Times New Roman"/>
          <w:sz w:val="24"/>
          <w:szCs w:val="24"/>
        </w:rPr>
      </w:pPr>
    </w:p>
    <w:p w:rsidR="00963A7F" w:rsidRPr="00311AC1" w:rsidRDefault="00963A7F" w:rsidP="00311AC1">
      <w:pPr>
        <w:pStyle w:val="ListParagraph"/>
        <w:ind w:left="0" w:firstLine="567"/>
        <w:jc w:val="both"/>
        <w:rPr>
          <w:sz w:val="24"/>
          <w:szCs w:val="24"/>
        </w:rPr>
      </w:pPr>
      <w:r w:rsidRPr="00311AC1">
        <w:rPr>
          <w:b/>
          <w:sz w:val="24"/>
          <w:szCs w:val="24"/>
        </w:rPr>
        <w:t>Дія особливих навантажень та екстремальні кліматичні впливи</w:t>
      </w:r>
      <w:r>
        <w:rPr>
          <w:b/>
        </w:rPr>
        <w:t xml:space="preserve">. </w:t>
      </w:r>
      <w:r w:rsidRPr="00311AC1">
        <w:rPr>
          <w:sz w:val="24"/>
          <w:szCs w:val="24"/>
        </w:rPr>
        <w:t>Дію аварійних особливих навантажень допускається не враховувати, якщо виконані всі наступні вимоги:</w:t>
      </w:r>
    </w:p>
    <w:p w:rsidR="00963A7F" w:rsidRDefault="00963A7F" w:rsidP="00311AC1">
      <w:pPr>
        <w:pStyle w:val="ListParagraph"/>
        <w:numPr>
          <w:ilvl w:val="0"/>
          <w:numId w:val="3"/>
        </w:numPr>
        <w:ind w:left="720" w:hanging="153"/>
        <w:jc w:val="both"/>
        <w:rPr>
          <w:sz w:val="24"/>
          <w:szCs w:val="24"/>
        </w:rPr>
      </w:pPr>
      <w:r>
        <w:rPr>
          <w:sz w:val="24"/>
          <w:szCs w:val="24"/>
        </w:rPr>
        <w:t>проведений розрахунок на дію проектних (нормованих) особливих впливів, вказаних в дійсній збірці правил, завданні на проектування та діючих нормативних документах;</w:t>
      </w:r>
    </w:p>
    <w:p w:rsidR="00963A7F" w:rsidRDefault="00963A7F" w:rsidP="00311AC1">
      <w:pPr>
        <w:pStyle w:val="ListParagraph"/>
        <w:numPr>
          <w:ilvl w:val="0"/>
          <w:numId w:val="3"/>
        </w:numPr>
        <w:ind w:left="720" w:hanging="153"/>
        <w:jc w:val="both"/>
        <w:rPr>
          <w:sz w:val="24"/>
          <w:szCs w:val="24"/>
        </w:rPr>
      </w:pPr>
      <w:r>
        <w:rPr>
          <w:sz w:val="24"/>
          <w:szCs w:val="24"/>
        </w:rPr>
        <w:t>введені додаткові коефіцієнти умови роботи, які знижують розрахунковий опір цих елементів та вузлів їх кріплення;</w:t>
      </w:r>
    </w:p>
    <w:p w:rsidR="00963A7F" w:rsidRDefault="00963A7F" w:rsidP="00311AC1">
      <w:pPr>
        <w:pStyle w:val="ListParagraph"/>
        <w:numPr>
          <w:ilvl w:val="0"/>
          <w:numId w:val="3"/>
        </w:numPr>
        <w:ind w:left="720" w:hanging="153"/>
        <w:jc w:val="both"/>
        <w:rPr>
          <w:sz w:val="24"/>
          <w:szCs w:val="24"/>
        </w:rPr>
      </w:pPr>
      <w:r>
        <w:rPr>
          <w:sz w:val="24"/>
          <w:szCs w:val="24"/>
        </w:rPr>
        <w:t>проведені організаційні заходи, згідно із збіркою правил, а також інші заходи, узгоджені із замовником.</w:t>
      </w:r>
    </w:p>
    <w:p w:rsidR="00963A7F" w:rsidRDefault="00963A7F" w:rsidP="000E48FE">
      <w:pPr>
        <w:spacing w:after="0" w:line="240" w:lineRule="auto"/>
        <w:ind w:firstLine="567"/>
        <w:jc w:val="both"/>
        <w:rPr>
          <w:rFonts w:ascii="Times New Roman" w:hAnsi="Times New Roman"/>
          <w:sz w:val="24"/>
          <w:szCs w:val="24"/>
        </w:rPr>
      </w:pPr>
      <w:r>
        <w:rPr>
          <w:rFonts w:ascii="Times New Roman" w:hAnsi="Times New Roman"/>
          <w:sz w:val="24"/>
          <w:szCs w:val="24"/>
        </w:rPr>
        <w:t xml:space="preserve">У документі також приділяється увага екстремальним кліматичним впливам, до яких віднесені екстремальні снігові навантаження, впливи вітру, ожеледні навантаження та екстремальні температурні кліматичні впливи. Розглядаються вибухові впливи та ударні навантаження </w:t>
      </w:r>
      <w:r w:rsidRPr="00A400AC">
        <w:rPr>
          <w:rFonts w:ascii="Times New Roman" w:hAnsi="Times New Roman"/>
          <w:sz w:val="24"/>
          <w:szCs w:val="24"/>
          <w:lang w:val="ru-RU"/>
        </w:rPr>
        <w:t>[2]</w:t>
      </w:r>
      <w:r>
        <w:rPr>
          <w:rFonts w:ascii="Times New Roman" w:hAnsi="Times New Roman"/>
          <w:sz w:val="24"/>
          <w:szCs w:val="24"/>
        </w:rPr>
        <w:t>.</w:t>
      </w:r>
    </w:p>
    <w:p w:rsidR="00963A7F" w:rsidRDefault="00963A7F" w:rsidP="000E48FE">
      <w:pPr>
        <w:spacing w:after="0" w:line="240" w:lineRule="auto"/>
        <w:ind w:firstLine="567"/>
        <w:jc w:val="both"/>
        <w:rPr>
          <w:rFonts w:ascii="Times New Roman" w:hAnsi="Times New Roman"/>
          <w:sz w:val="24"/>
          <w:szCs w:val="24"/>
        </w:rPr>
      </w:pPr>
      <w:r>
        <w:rPr>
          <w:rFonts w:ascii="Times New Roman" w:hAnsi="Times New Roman"/>
          <w:sz w:val="24"/>
          <w:szCs w:val="24"/>
        </w:rPr>
        <w:t>При розрахунку будівельних конструкцій на особливі сполучення навантажень необхідно враховувати наступні кліматичні впливи:</w:t>
      </w:r>
    </w:p>
    <w:p w:rsidR="00963A7F" w:rsidRDefault="00963A7F" w:rsidP="00EA1407">
      <w:pPr>
        <w:pStyle w:val="ListParagraph"/>
        <w:numPr>
          <w:ilvl w:val="0"/>
          <w:numId w:val="3"/>
        </w:numPr>
        <w:ind w:left="720"/>
        <w:jc w:val="both"/>
        <w:rPr>
          <w:sz w:val="24"/>
          <w:szCs w:val="24"/>
        </w:rPr>
      </w:pPr>
      <w:r>
        <w:rPr>
          <w:sz w:val="24"/>
          <w:szCs w:val="24"/>
        </w:rPr>
        <w:t>розрахункові екстремальні снігові, ожеледні навантаження та температурні кліматичні впливи:</w:t>
      </w:r>
    </w:p>
    <w:p w:rsidR="00963A7F" w:rsidRDefault="00963A7F" w:rsidP="00EA1407">
      <w:pPr>
        <w:pStyle w:val="ListParagraph"/>
        <w:numPr>
          <w:ilvl w:val="0"/>
          <w:numId w:val="3"/>
        </w:numPr>
        <w:ind w:left="720"/>
        <w:jc w:val="both"/>
        <w:rPr>
          <w:sz w:val="24"/>
          <w:szCs w:val="24"/>
        </w:rPr>
      </w:pPr>
      <w:r>
        <w:rPr>
          <w:sz w:val="24"/>
          <w:szCs w:val="24"/>
        </w:rPr>
        <w:t>особливі впливи, пов’язанні зі сповзанням снігу;</w:t>
      </w:r>
    </w:p>
    <w:p w:rsidR="00963A7F" w:rsidRPr="007A7F08" w:rsidRDefault="00963A7F" w:rsidP="00EA1407">
      <w:pPr>
        <w:pStyle w:val="ListParagraph"/>
        <w:numPr>
          <w:ilvl w:val="0"/>
          <w:numId w:val="3"/>
        </w:numPr>
        <w:ind w:left="720"/>
        <w:jc w:val="both"/>
        <w:rPr>
          <w:sz w:val="24"/>
          <w:szCs w:val="24"/>
        </w:rPr>
      </w:pPr>
      <w:r>
        <w:rPr>
          <w:sz w:val="24"/>
          <w:szCs w:val="24"/>
        </w:rPr>
        <w:t>вітрові впливи, котрі можуть створювати аеродинамічні нестійкі коливання.</w:t>
      </w:r>
    </w:p>
    <w:p w:rsidR="00963A7F" w:rsidRDefault="00963A7F" w:rsidP="000E48FE">
      <w:pPr>
        <w:spacing w:after="0" w:line="240" w:lineRule="auto"/>
        <w:ind w:firstLine="567"/>
        <w:jc w:val="both"/>
        <w:rPr>
          <w:rFonts w:ascii="Times New Roman" w:hAnsi="Times New Roman"/>
          <w:sz w:val="24"/>
          <w:szCs w:val="24"/>
        </w:rPr>
      </w:pPr>
      <w:r>
        <w:rPr>
          <w:rFonts w:ascii="Times New Roman" w:hAnsi="Times New Roman"/>
          <w:sz w:val="24"/>
          <w:szCs w:val="24"/>
        </w:rPr>
        <w:t xml:space="preserve">Для врахування екстремальних впливів, розрахункові значення котрих для окремих населених пунктів значно перевищують звичайні розрахункові значення, вводять додатковий коефіцієнт надійності для екстремальних впливів </w:t>
      </w:r>
      <w:r w:rsidRPr="004D2AD3">
        <w:rPr>
          <w:rFonts w:ascii="Times New Roman" w:hAnsi="Times New Roman"/>
          <w:sz w:val="24"/>
          <w:szCs w:val="24"/>
        </w:rPr>
        <w:fldChar w:fldCharType="begin"/>
      </w:r>
      <w:r w:rsidRPr="004D2AD3">
        <w:rPr>
          <w:rFonts w:ascii="Times New Roman" w:hAnsi="Times New Roman"/>
          <w:sz w:val="24"/>
          <w:szCs w:val="24"/>
        </w:rPr>
        <w:instrText xml:space="preserve"> QUOTE </w:instrTex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1.2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defaultTabStop w:val=&quot;708&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E1D6E&quot;/&gt;&lt;wsp:rsid wsp:val=&quot;00001ECF&quot;/&gt;&lt;wsp:rsid wsp:val=&quot;00045C45&quot;/&gt;&lt;wsp:rsid wsp:val=&quot;000A1C37&quot;/&gt;&lt;wsp:rsid wsp:val=&quot;000B22D9&quot;/&gt;&lt;wsp:rsid wsp:val=&quot;000D4A06&quot;/&gt;&lt;wsp:rsid wsp:val=&quot;000E48FE&quot;/&gt;&lt;wsp:rsid wsp:val=&quot;000E4CAF&quot;/&gt;&lt;wsp:rsid wsp:val=&quot;00285D6B&quot;/&gt;&lt;wsp:rsid wsp:val=&quot;002F3507&quot;/&gt;&lt;wsp:rsid wsp:val=&quot;00320E17&quot;/&gt;&lt;wsp:rsid wsp:val=&quot;003543FF&quot;/&gt;&lt;wsp:rsid wsp:val=&quot;004C7CDF&quot;/&gt;&lt;wsp:rsid wsp:val=&quot;00500D24&quot;/&gt;&lt;wsp:rsid wsp:val=&quot;00500EA3&quot;/&gt;&lt;wsp:rsid wsp:val=&quot;005860E2&quot;/&gt;&lt;wsp:rsid wsp:val=&quot;006A1CEA&quot;/&gt;&lt;wsp:rsid wsp:val=&quot;007A7F08&quot;/&gt;&lt;wsp:rsid wsp:val=&quot;007D5B8F&quot;/&gt;&lt;wsp:rsid wsp:val=&quot;00864764&quot;/&gt;&lt;wsp:rsid wsp:val=&quot;008F3A33&quot;/&gt;&lt;wsp:rsid wsp:val=&quot;00A400AC&quot;/&gt;&lt;wsp:rsid wsp:val=&quot;00A81D40&quot;/&gt;&lt;wsp:rsid wsp:val=&quot;00BA2337&quot;/&gt;&lt;wsp:rsid wsp:val=&quot;00C939B7&quot;/&gt;&lt;wsp:rsid wsp:val=&quot;00CB66F7&quot;/&gt;&lt;wsp:rsid wsp:val=&quot;00CE1D6E&quot;/&gt;&lt;wsp:rsid wsp:val=&quot;00DE7F5E&quot;/&gt;&lt;wsp:rsid wsp:val=&quot;00E46E2F&quot;/&gt;&lt;wsp:rsid wsp:val=&quot;00FC555D&quot;/&gt;&lt;wsp:rsid wsp:val=&quot;00FC74A2&quot;/&gt;&lt;/wsp:rsids&gt;&lt;/w:docPr&gt;&lt;w:body&gt;&lt;w:p wsp:rsidR=&quot;00000000&quot; wsp:rsidRDefault=&quot;008F3A33&quot;&gt;&lt;m:oMathPara&gt;&lt;m:oMath&gt;&lt;m:sSub&gt;&lt;m:sSubPr&gt;&lt;m:ctrlPr&gt;&lt;w:rPr&gt;&lt;w:rFonts w:ascii=&quot;Cambria Math&quot; w:h-ansi=&quot;Cambria Math&quot;/&gt;&lt;wx:font wx:val=&quot;Cambria Math&quot;/&gt;&lt;w:i/&gt;&lt;w:sz w:val=&quot;24&quot;/&gt;&lt;w:sz-cs w:val=&quot;24&quot;/&gt;&lt;/w:rPr&gt;&lt;/m:ctrlPr&gt;&lt;/m:sSubPr&gt;&lt;m:e&gt;&lt;m:r&gt;&lt;w:rPr&gt;&lt;w:rFonts w:ascii=&quot;Cambria Math&quot; w:h-ansi=&quot;Cambria Math&quot;/&gt;&lt;wx:font wx:val=&quot;Cambria Math&quot;/&gt;&lt;w:i/&gt;&lt;w:sz w:val=&quot;24&quot;/&gt;&lt;w:sz-cs w:val=&quot;24&quot;/&gt;&lt;/w:rPr&gt;&lt;m:t&gt;Оі&lt;/m:t&gt;&lt;/m:r&gt;&lt;/m:e&gt;&lt;m:sub&gt;&lt;m:r&gt;&lt;w:rPr&gt;&lt;w:rFonts w:ascii=&quot;Cambria Math&quot; w:h-ansi=&quot;Cambria Math&quot;/&gt;&lt;wx:font wx:val=&quot;Cambria Math&quot;/&gt;&lt;w:i/&gt;&lt;w:sz w:val=&quot;24&quot;/&gt;&lt;w:sz-cs w:val=&quot;24&quot;/&gt;&lt;w:lang w:val=&quot;EN-US&quot;/&gt;&lt;/w:rPr&gt;&lt;m:t&gt;a&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 o:title="" chromakey="white"/>
          </v:shape>
        </w:pict>
      </w:r>
      <w:r w:rsidRPr="004D2AD3">
        <w:rPr>
          <w:rFonts w:ascii="Times New Roman" w:hAnsi="Times New Roman"/>
          <w:sz w:val="24"/>
          <w:szCs w:val="24"/>
        </w:rPr>
        <w:instrText xml:space="preserve"> </w:instrText>
      </w:r>
      <w:r w:rsidRPr="004D2AD3">
        <w:rPr>
          <w:rFonts w:ascii="Times New Roman" w:hAnsi="Times New Roman"/>
          <w:sz w:val="24"/>
          <w:szCs w:val="24"/>
        </w:rPr>
        <w:fldChar w:fldCharType="separate"/>
      </w:r>
      <w:r>
        <w:pict>
          <v:shape id="_x0000_i1026" type="#_x0000_t75" style="width:13.5pt;height:11.2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defaultTabStop w:val=&quot;708&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E1D6E&quot;/&gt;&lt;wsp:rsid wsp:val=&quot;00001ECF&quot;/&gt;&lt;wsp:rsid wsp:val=&quot;00045C45&quot;/&gt;&lt;wsp:rsid wsp:val=&quot;000A1C37&quot;/&gt;&lt;wsp:rsid wsp:val=&quot;000B22D9&quot;/&gt;&lt;wsp:rsid wsp:val=&quot;000D4A06&quot;/&gt;&lt;wsp:rsid wsp:val=&quot;000E48FE&quot;/&gt;&lt;wsp:rsid wsp:val=&quot;000E4CAF&quot;/&gt;&lt;wsp:rsid wsp:val=&quot;00285D6B&quot;/&gt;&lt;wsp:rsid wsp:val=&quot;002F3507&quot;/&gt;&lt;wsp:rsid wsp:val=&quot;00320E17&quot;/&gt;&lt;wsp:rsid wsp:val=&quot;003543FF&quot;/&gt;&lt;wsp:rsid wsp:val=&quot;004C7CDF&quot;/&gt;&lt;wsp:rsid wsp:val=&quot;00500D24&quot;/&gt;&lt;wsp:rsid wsp:val=&quot;00500EA3&quot;/&gt;&lt;wsp:rsid wsp:val=&quot;005860E2&quot;/&gt;&lt;wsp:rsid wsp:val=&quot;006A1CEA&quot;/&gt;&lt;wsp:rsid wsp:val=&quot;007A7F08&quot;/&gt;&lt;wsp:rsid wsp:val=&quot;007D5B8F&quot;/&gt;&lt;wsp:rsid wsp:val=&quot;00864764&quot;/&gt;&lt;wsp:rsid wsp:val=&quot;008F3A33&quot;/&gt;&lt;wsp:rsid wsp:val=&quot;00A400AC&quot;/&gt;&lt;wsp:rsid wsp:val=&quot;00A81D40&quot;/&gt;&lt;wsp:rsid wsp:val=&quot;00BA2337&quot;/&gt;&lt;wsp:rsid wsp:val=&quot;00C939B7&quot;/&gt;&lt;wsp:rsid wsp:val=&quot;00CB66F7&quot;/&gt;&lt;wsp:rsid wsp:val=&quot;00CE1D6E&quot;/&gt;&lt;wsp:rsid wsp:val=&quot;00DE7F5E&quot;/&gt;&lt;wsp:rsid wsp:val=&quot;00E46E2F&quot;/&gt;&lt;wsp:rsid wsp:val=&quot;00FC555D&quot;/&gt;&lt;wsp:rsid wsp:val=&quot;00FC74A2&quot;/&gt;&lt;/wsp:rsids&gt;&lt;/w:docPr&gt;&lt;w:body&gt;&lt;w:p wsp:rsidR=&quot;00000000&quot; wsp:rsidRDefault=&quot;008F3A33&quot;&gt;&lt;m:oMathPara&gt;&lt;m:oMath&gt;&lt;m:sSub&gt;&lt;m:sSubPr&gt;&lt;m:ctrlPr&gt;&lt;w:rPr&gt;&lt;w:rFonts w:ascii=&quot;Cambria Math&quot; w:h-ansi=&quot;Cambria Math&quot;/&gt;&lt;wx:font wx:val=&quot;Cambria Math&quot;/&gt;&lt;w:i/&gt;&lt;w:sz w:val=&quot;24&quot;/&gt;&lt;w:sz-cs w:val=&quot;24&quot;/&gt;&lt;/w:rPr&gt;&lt;/m:ctrlPr&gt;&lt;/m:sSubPr&gt;&lt;m:e&gt;&lt;m:r&gt;&lt;w:rPr&gt;&lt;w:rFonts w:ascii=&quot;Cambria Math&quot; w:h-ansi=&quot;Cambria Math&quot;/&gt;&lt;wx:font wx:val=&quot;Cambria Math&quot;/&gt;&lt;w:i/&gt;&lt;w:sz w:val=&quot;24&quot;/&gt;&lt;w:sz-cs w:val=&quot;24&quot;/&gt;&lt;/w:rPr&gt;&lt;m:t&gt;Оі&lt;/m:t&gt;&lt;/m:r&gt;&lt;/m:e&gt;&lt;m:sub&gt;&lt;m:r&gt;&lt;w:rPr&gt;&lt;w:rFonts w:ascii=&quot;Cambria Math&quot; w:h-ansi=&quot;Cambria Math&quot;/&gt;&lt;wx:font wx:val=&quot;Cambria Math&quot;/&gt;&lt;w:i/&gt;&lt;w:sz w:val=&quot;24&quot;/&gt;&lt;w:sz-cs w:val=&quot;24&quot;/&gt;&lt;w:lang w:val=&quot;EN-US&quot;/&gt;&lt;/w:rPr&gt;&lt;m:t&gt;a&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 o:title="" chromakey="white"/>
          </v:shape>
        </w:pict>
      </w:r>
      <w:r w:rsidRPr="004D2AD3">
        <w:rPr>
          <w:rFonts w:ascii="Times New Roman" w:hAnsi="Times New Roman"/>
          <w:sz w:val="24"/>
          <w:szCs w:val="24"/>
        </w:rPr>
        <w:fldChar w:fldCharType="end"/>
      </w:r>
      <w:r>
        <w:rPr>
          <w:rFonts w:ascii="Times New Roman" w:hAnsi="Times New Roman"/>
          <w:sz w:val="24"/>
          <w:szCs w:val="24"/>
        </w:rPr>
        <w:t xml:space="preserve">. </w:t>
      </w:r>
    </w:p>
    <w:p w:rsidR="00963A7F" w:rsidRDefault="00963A7F" w:rsidP="000E48FE">
      <w:pPr>
        <w:spacing w:after="0" w:line="240" w:lineRule="auto"/>
        <w:ind w:firstLine="567"/>
        <w:jc w:val="both"/>
        <w:rPr>
          <w:rFonts w:ascii="Times New Roman" w:hAnsi="Times New Roman"/>
          <w:sz w:val="24"/>
          <w:szCs w:val="24"/>
        </w:rPr>
      </w:pPr>
    </w:p>
    <w:p w:rsidR="00963A7F" w:rsidRPr="00EA1407" w:rsidRDefault="00963A7F" w:rsidP="00EA1407">
      <w:pPr>
        <w:pStyle w:val="ListParagraph"/>
        <w:ind w:left="0" w:firstLine="720"/>
        <w:jc w:val="both"/>
        <w:rPr>
          <w:sz w:val="24"/>
          <w:szCs w:val="24"/>
        </w:rPr>
      </w:pPr>
      <w:r w:rsidRPr="00EA1407">
        <w:rPr>
          <w:b/>
          <w:sz w:val="24"/>
          <w:szCs w:val="24"/>
        </w:rPr>
        <w:t xml:space="preserve">Ударні навантаження. </w:t>
      </w:r>
      <w:r w:rsidRPr="00EA1407">
        <w:rPr>
          <w:sz w:val="24"/>
          <w:szCs w:val="24"/>
        </w:rPr>
        <w:t xml:space="preserve">З приводу </w:t>
      </w:r>
      <w:r>
        <w:rPr>
          <w:sz w:val="24"/>
          <w:szCs w:val="24"/>
        </w:rPr>
        <w:t>цих</w:t>
      </w:r>
      <w:r w:rsidRPr="00EA1407">
        <w:rPr>
          <w:sz w:val="24"/>
          <w:szCs w:val="24"/>
        </w:rPr>
        <w:t xml:space="preserve"> навантажень зазначено, що при проектуванн</w:t>
      </w:r>
      <w:r>
        <w:rPr>
          <w:sz w:val="24"/>
          <w:szCs w:val="24"/>
        </w:rPr>
        <w:t>і</w:t>
      </w:r>
      <w:r w:rsidRPr="00EA1407">
        <w:rPr>
          <w:sz w:val="24"/>
          <w:szCs w:val="24"/>
        </w:rPr>
        <w:t xml:space="preserve"> будівель необхідно враховувати їх дію у комбінації із іншими особливими впливами, наприклад</w:t>
      </w:r>
      <w:r>
        <w:rPr>
          <w:sz w:val="24"/>
          <w:szCs w:val="24"/>
        </w:rPr>
        <w:t>,</w:t>
      </w:r>
      <w:r w:rsidRPr="00EA1407">
        <w:rPr>
          <w:sz w:val="24"/>
          <w:szCs w:val="24"/>
        </w:rPr>
        <w:t xml:space="preserve"> зіткнення паливозаправочного транспортного засобу із опорною конструкцією моста та </w:t>
      </w:r>
      <w:r>
        <w:rPr>
          <w:sz w:val="24"/>
          <w:szCs w:val="24"/>
        </w:rPr>
        <w:t>наступна</w:t>
      </w:r>
      <w:r w:rsidRPr="00EA1407">
        <w:rPr>
          <w:sz w:val="24"/>
          <w:szCs w:val="24"/>
        </w:rPr>
        <w:t xml:space="preserve"> за цим пожежа.</w:t>
      </w:r>
    </w:p>
    <w:p w:rsidR="00963A7F" w:rsidRDefault="00963A7F" w:rsidP="000E48FE">
      <w:pPr>
        <w:spacing w:after="0" w:line="240" w:lineRule="auto"/>
        <w:ind w:firstLine="567"/>
        <w:jc w:val="both"/>
        <w:rPr>
          <w:rFonts w:ascii="Times New Roman" w:hAnsi="Times New Roman"/>
          <w:sz w:val="24"/>
          <w:szCs w:val="24"/>
        </w:rPr>
      </w:pPr>
      <w:r>
        <w:rPr>
          <w:rFonts w:ascii="Times New Roman" w:hAnsi="Times New Roman"/>
          <w:sz w:val="24"/>
          <w:szCs w:val="24"/>
        </w:rPr>
        <w:t xml:space="preserve">Розрахунок на ударні впливи від автотранспортних засобів необхідно проводити для пролітних споруд мостів із підмостовим габаритом менш ніж </w:t>
      </w:r>
      <w:smartTag w:uri="urn:schemas-microsoft-com:office:smarttags" w:element="metricconverter">
        <w:smartTagPr>
          <w:attr w:name="ProductID" w:val="6 м"/>
        </w:smartTagPr>
        <w:r>
          <w:rPr>
            <w:rFonts w:ascii="Times New Roman" w:hAnsi="Times New Roman"/>
            <w:sz w:val="24"/>
            <w:szCs w:val="24"/>
          </w:rPr>
          <w:t>6 м</w:t>
        </w:r>
      </w:smartTag>
      <w:r>
        <w:rPr>
          <w:rFonts w:ascii="Times New Roman" w:hAnsi="Times New Roman"/>
          <w:sz w:val="24"/>
          <w:szCs w:val="24"/>
        </w:rPr>
        <w:t>, а також для поміжних стоїчних опор.</w:t>
      </w:r>
    </w:p>
    <w:p w:rsidR="00963A7F" w:rsidRDefault="00963A7F" w:rsidP="000E48FE">
      <w:pPr>
        <w:spacing w:after="0" w:line="240" w:lineRule="auto"/>
        <w:ind w:firstLine="567"/>
        <w:jc w:val="both"/>
        <w:rPr>
          <w:rFonts w:ascii="Times New Roman" w:hAnsi="Times New Roman"/>
          <w:sz w:val="24"/>
          <w:szCs w:val="24"/>
        </w:rPr>
      </w:pPr>
      <w:r>
        <w:rPr>
          <w:rFonts w:ascii="Times New Roman" w:hAnsi="Times New Roman"/>
          <w:sz w:val="24"/>
          <w:szCs w:val="24"/>
        </w:rPr>
        <w:t>Для випадків, коли можливий співудар автотранспортного засобу із опорними конструкціями або фасадами будівель, розрахункові значення еквівалентних квазістатичних навантажень необхідно приймати за таблицею 1</w:t>
      </w:r>
      <w:r w:rsidRPr="00A400AC">
        <w:rPr>
          <w:rFonts w:ascii="Times New Roman" w:hAnsi="Times New Roman"/>
          <w:sz w:val="24"/>
          <w:szCs w:val="24"/>
          <w:lang w:val="ru-RU"/>
        </w:rPr>
        <w:t xml:space="preserve"> [2]</w:t>
      </w:r>
      <w:r>
        <w:rPr>
          <w:rFonts w:ascii="Times New Roman" w:hAnsi="Times New Roman"/>
          <w:sz w:val="24"/>
          <w:szCs w:val="24"/>
        </w:rPr>
        <w:t>.</w:t>
      </w:r>
    </w:p>
    <w:p w:rsidR="00963A7F" w:rsidRDefault="00963A7F" w:rsidP="000E48FE">
      <w:pPr>
        <w:spacing w:after="0" w:line="240" w:lineRule="auto"/>
        <w:ind w:firstLine="567"/>
        <w:jc w:val="both"/>
        <w:rPr>
          <w:rFonts w:ascii="Times New Roman" w:hAnsi="Times New Roman"/>
          <w:sz w:val="24"/>
          <w:szCs w:val="24"/>
        </w:rPr>
      </w:pPr>
    </w:p>
    <w:p w:rsidR="00963A7F" w:rsidRDefault="00963A7F" w:rsidP="00EA1407">
      <w:pPr>
        <w:spacing w:after="0" w:line="240" w:lineRule="auto"/>
        <w:ind w:firstLine="6237"/>
        <w:jc w:val="right"/>
        <w:rPr>
          <w:rFonts w:ascii="Times New Roman" w:hAnsi="Times New Roman"/>
          <w:sz w:val="24"/>
          <w:szCs w:val="24"/>
        </w:rPr>
      </w:pPr>
      <w:r>
        <w:rPr>
          <w:rFonts w:ascii="Times New Roman" w:hAnsi="Times New Roman"/>
          <w:sz w:val="24"/>
          <w:szCs w:val="24"/>
        </w:rPr>
        <w:t>Таблиця 1</w:t>
      </w:r>
    </w:p>
    <w:p w:rsidR="00963A7F" w:rsidRDefault="00963A7F" w:rsidP="00EA1407">
      <w:pPr>
        <w:spacing w:after="0" w:line="240" w:lineRule="auto"/>
        <w:ind w:firstLine="567"/>
        <w:jc w:val="center"/>
        <w:rPr>
          <w:rFonts w:ascii="Times New Roman" w:hAnsi="Times New Roman"/>
          <w:sz w:val="24"/>
          <w:szCs w:val="24"/>
        </w:rPr>
      </w:pPr>
      <w:r>
        <w:rPr>
          <w:rFonts w:ascii="Times New Roman" w:hAnsi="Times New Roman"/>
          <w:sz w:val="24"/>
          <w:szCs w:val="24"/>
        </w:rPr>
        <w:t>Розрахункові значення еквівалентних квазістатичних навантажень, при можливості співудару автотранспортних засобів з опорними конструкціями або фасадами будівель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95"/>
        <w:gridCol w:w="3095"/>
        <w:gridCol w:w="3096"/>
      </w:tblGrid>
      <w:tr w:rsidR="00963A7F" w:rsidRPr="004D2AD3" w:rsidTr="00EA1407">
        <w:tc>
          <w:tcPr>
            <w:tcW w:w="3095" w:type="dxa"/>
            <w:vAlign w:val="center"/>
          </w:tcPr>
          <w:p w:rsidR="00963A7F" w:rsidRPr="004D2AD3" w:rsidRDefault="00963A7F" w:rsidP="00EA1407">
            <w:pPr>
              <w:spacing w:after="0" w:line="240" w:lineRule="auto"/>
              <w:jc w:val="center"/>
              <w:rPr>
                <w:rFonts w:ascii="Times New Roman" w:hAnsi="Times New Roman"/>
                <w:sz w:val="24"/>
                <w:szCs w:val="24"/>
              </w:rPr>
            </w:pPr>
            <w:r w:rsidRPr="004D2AD3">
              <w:rPr>
                <w:rFonts w:ascii="Times New Roman" w:hAnsi="Times New Roman"/>
                <w:sz w:val="24"/>
                <w:szCs w:val="24"/>
              </w:rPr>
              <w:t>Категорія дороги за ГОСТ Р 52398</w:t>
            </w:r>
          </w:p>
        </w:tc>
        <w:tc>
          <w:tcPr>
            <w:tcW w:w="3095" w:type="dxa"/>
            <w:vAlign w:val="center"/>
          </w:tcPr>
          <w:p w:rsidR="00963A7F" w:rsidRPr="004D2AD3" w:rsidRDefault="00963A7F" w:rsidP="00EA1407">
            <w:pPr>
              <w:spacing w:after="0" w:line="240" w:lineRule="auto"/>
              <w:jc w:val="center"/>
              <w:rPr>
                <w:rFonts w:ascii="Times New Roman" w:hAnsi="Times New Roman"/>
                <w:sz w:val="24"/>
                <w:szCs w:val="24"/>
              </w:rPr>
            </w:pPr>
            <w:r w:rsidRPr="004D2AD3">
              <w:rPr>
                <w:rFonts w:ascii="Times New Roman" w:hAnsi="Times New Roman"/>
                <w:sz w:val="24"/>
                <w:szCs w:val="24"/>
              </w:rPr>
              <w:t xml:space="preserve">Зосереджене навантаження </w:t>
            </w:r>
            <w:r w:rsidRPr="004D2AD3">
              <w:rPr>
                <w:rFonts w:ascii="Times New Roman" w:hAnsi="Times New Roman"/>
                <w:i/>
                <w:sz w:val="24"/>
                <w:szCs w:val="24"/>
                <w:lang w:val="en-US"/>
              </w:rPr>
              <w:t>F</w:t>
            </w:r>
            <w:r w:rsidRPr="004D2AD3">
              <w:rPr>
                <w:rFonts w:ascii="Times New Roman" w:hAnsi="Times New Roman"/>
                <w:i/>
                <w:sz w:val="24"/>
                <w:szCs w:val="24"/>
                <w:vertAlign w:val="subscript"/>
                <w:lang w:val="en-US"/>
              </w:rPr>
              <w:t>vx</w:t>
            </w:r>
            <w:r w:rsidRPr="004D2AD3">
              <w:rPr>
                <w:rFonts w:ascii="Times New Roman" w:hAnsi="Times New Roman"/>
                <w:sz w:val="24"/>
                <w:szCs w:val="24"/>
                <w:lang w:val="ru-RU"/>
              </w:rPr>
              <w:t xml:space="preserve">, </w:t>
            </w:r>
            <w:r w:rsidRPr="004D2AD3">
              <w:rPr>
                <w:rFonts w:ascii="Times New Roman" w:hAnsi="Times New Roman"/>
                <w:sz w:val="24"/>
                <w:szCs w:val="24"/>
              </w:rPr>
              <w:t>кН (в напрямку руху)</w:t>
            </w:r>
          </w:p>
        </w:tc>
        <w:tc>
          <w:tcPr>
            <w:tcW w:w="3096" w:type="dxa"/>
          </w:tcPr>
          <w:p w:rsidR="00963A7F" w:rsidRPr="004D2AD3" w:rsidRDefault="00963A7F" w:rsidP="004D2AD3">
            <w:pPr>
              <w:spacing w:after="0" w:line="240" w:lineRule="auto"/>
              <w:jc w:val="both"/>
              <w:rPr>
                <w:rFonts w:ascii="Times New Roman" w:hAnsi="Times New Roman"/>
                <w:sz w:val="24"/>
                <w:szCs w:val="24"/>
              </w:rPr>
            </w:pPr>
            <w:r w:rsidRPr="004D2AD3">
              <w:rPr>
                <w:rFonts w:ascii="Times New Roman" w:hAnsi="Times New Roman"/>
                <w:sz w:val="24"/>
                <w:szCs w:val="24"/>
              </w:rPr>
              <w:t xml:space="preserve">Зосереджене навантаження </w:t>
            </w:r>
            <w:r w:rsidRPr="004D2AD3">
              <w:rPr>
                <w:rFonts w:ascii="Times New Roman" w:hAnsi="Times New Roman"/>
                <w:i/>
                <w:sz w:val="24"/>
                <w:szCs w:val="24"/>
                <w:lang w:val="en-US"/>
              </w:rPr>
              <w:t>F</w:t>
            </w:r>
            <w:r w:rsidRPr="004D2AD3">
              <w:rPr>
                <w:rFonts w:ascii="Times New Roman" w:hAnsi="Times New Roman"/>
                <w:i/>
                <w:sz w:val="24"/>
                <w:szCs w:val="24"/>
                <w:vertAlign w:val="subscript"/>
                <w:lang w:val="en-US"/>
              </w:rPr>
              <w:t>vy</w:t>
            </w:r>
            <w:r w:rsidRPr="004D2AD3">
              <w:rPr>
                <w:rFonts w:ascii="Times New Roman" w:hAnsi="Times New Roman"/>
                <w:sz w:val="24"/>
                <w:szCs w:val="24"/>
                <w:lang w:val="ru-RU"/>
              </w:rPr>
              <w:t xml:space="preserve">, </w:t>
            </w:r>
            <w:r w:rsidRPr="004D2AD3">
              <w:rPr>
                <w:rFonts w:ascii="Times New Roman" w:hAnsi="Times New Roman"/>
                <w:sz w:val="24"/>
                <w:szCs w:val="24"/>
              </w:rPr>
              <w:t>кН (перпендикулярно напрямку руху)</w:t>
            </w:r>
          </w:p>
        </w:tc>
      </w:tr>
      <w:tr w:rsidR="00963A7F" w:rsidRPr="004D2AD3" w:rsidTr="00EA1407">
        <w:tc>
          <w:tcPr>
            <w:tcW w:w="3095" w:type="dxa"/>
          </w:tcPr>
          <w:p w:rsidR="00963A7F" w:rsidRPr="004D2AD3" w:rsidRDefault="00963A7F" w:rsidP="004D2AD3">
            <w:pPr>
              <w:spacing w:after="0" w:line="240" w:lineRule="auto"/>
              <w:jc w:val="both"/>
              <w:rPr>
                <w:rFonts w:ascii="Times New Roman" w:hAnsi="Times New Roman"/>
                <w:sz w:val="24"/>
                <w:szCs w:val="24"/>
              </w:rPr>
            </w:pPr>
            <w:r w:rsidRPr="004D2AD3">
              <w:rPr>
                <w:rFonts w:ascii="Times New Roman" w:hAnsi="Times New Roman"/>
                <w:sz w:val="24"/>
                <w:szCs w:val="24"/>
              </w:rPr>
              <w:t>Автомагістралі та швидкісні автомобільні дороги категорій ІА та ІБ</w:t>
            </w:r>
          </w:p>
        </w:tc>
        <w:tc>
          <w:tcPr>
            <w:tcW w:w="3095" w:type="dxa"/>
            <w:vAlign w:val="center"/>
          </w:tcPr>
          <w:p w:rsidR="00963A7F" w:rsidRPr="004D2AD3" w:rsidRDefault="00963A7F" w:rsidP="00EA1407">
            <w:pPr>
              <w:spacing w:after="0" w:line="240" w:lineRule="auto"/>
              <w:jc w:val="center"/>
              <w:rPr>
                <w:rFonts w:ascii="Times New Roman" w:hAnsi="Times New Roman"/>
                <w:sz w:val="24"/>
                <w:szCs w:val="24"/>
              </w:rPr>
            </w:pPr>
            <w:r w:rsidRPr="004D2AD3">
              <w:rPr>
                <w:rFonts w:ascii="Times New Roman" w:hAnsi="Times New Roman"/>
                <w:sz w:val="24"/>
                <w:szCs w:val="24"/>
              </w:rPr>
              <w:t>1000</w:t>
            </w:r>
          </w:p>
        </w:tc>
        <w:tc>
          <w:tcPr>
            <w:tcW w:w="3096" w:type="dxa"/>
            <w:vAlign w:val="center"/>
          </w:tcPr>
          <w:p w:rsidR="00963A7F" w:rsidRPr="004D2AD3" w:rsidRDefault="00963A7F" w:rsidP="00EA1407">
            <w:pPr>
              <w:spacing w:after="0" w:line="240" w:lineRule="auto"/>
              <w:jc w:val="center"/>
              <w:rPr>
                <w:rFonts w:ascii="Times New Roman" w:hAnsi="Times New Roman"/>
                <w:sz w:val="24"/>
                <w:szCs w:val="24"/>
              </w:rPr>
            </w:pPr>
            <w:r w:rsidRPr="004D2AD3">
              <w:rPr>
                <w:rFonts w:ascii="Times New Roman" w:hAnsi="Times New Roman"/>
                <w:sz w:val="24"/>
                <w:szCs w:val="24"/>
              </w:rPr>
              <w:t>500</w:t>
            </w:r>
          </w:p>
        </w:tc>
      </w:tr>
      <w:tr w:rsidR="00963A7F" w:rsidRPr="004D2AD3" w:rsidTr="00EA1407">
        <w:tc>
          <w:tcPr>
            <w:tcW w:w="3095" w:type="dxa"/>
          </w:tcPr>
          <w:p w:rsidR="00963A7F" w:rsidRPr="004D2AD3" w:rsidRDefault="00963A7F" w:rsidP="004D2AD3">
            <w:pPr>
              <w:spacing w:after="0" w:line="240" w:lineRule="auto"/>
              <w:jc w:val="both"/>
              <w:rPr>
                <w:rFonts w:ascii="Times New Roman" w:hAnsi="Times New Roman"/>
                <w:sz w:val="24"/>
                <w:szCs w:val="24"/>
              </w:rPr>
            </w:pPr>
            <w:r w:rsidRPr="004D2AD3">
              <w:rPr>
                <w:rFonts w:ascii="Times New Roman" w:hAnsi="Times New Roman"/>
                <w:sz w:val="24"/>
                <w:szCs w:val="24"/>
              </w:rPr>
              <w:t>Звичайні автомобільні дороги категорій ІВ, ІІ</w:t>
            </w:r>
          </w:p>
        </w:tc>
        <w:tc>
          <w:tcPr>
            <w:tcW w:w="3095" w:type="dxa"/>
            <w:vAlign w:val="center"/>
          </w:tcPr>
          <w:p w:rsidR="00963A7F" w:rsidRPr="004D2AD3" w:rsidRDefault="00963A7F" w:rsidP="00EA1407">
            <w:pPr>
              <w:spacing w:after="0" w:line="240" w:lineRule="auto"/>
              <w:jc w:val="center"/>
              <w:rPr>
                <w:rFonts w:ascii="Times New Roman" w:hAnsi="Times New Roman"/>
                <w:sz w:val="24"/>
                <w:szCs w:val="24"/>
              </w:rPr>
            </w:pPr>
            <w:r w:rsidRPr="004D2AD3">
              <w:rPr>
                <w:rFonts w:ascii="Times New Roman" w:hAnsi="Times New Roman"/>
                <w:sz w:val="24"/>
                <w:szCs w:val="24"/>
              </w:rPr>
              <w:t>750</w:t>
            </w:r>
          </w:p>
        </w:tc>
        <w:tc>
          <w:tcPr>
            <w:tcW w:w="3096" w:type="dxa"/>
            <w:vAlign w:val="center"/>
          </w:tcPr>
          <w:p w:rsidR="00963A7F" w:rsidRPr="004D2AD3" w:rsidRDefault="00963A7F" w:rsidP="00EA1407">
            <w:pPr>
              <w:spacing w:after="0" w:line="240" w:lineRule="auto"/>
              <w:jc w:val="center"/>
              <w:rPr>
                <w:rFonts w:ascii="Times New Roman" w:hAnsi="Times New Roman"/>
                <w:sz w:val="24"/>
                <w:szCs w:val="24"/>
              </w:rPr>
            </w:pPr>
            <w:r w:rsidRPr="004D2AD3">
              <w:rPr>
                <w:rFonts w:ascii="Times New Roman" w:hAnsi="Times New Roman"/>
                <w:sz w:val="24"/>
                <w:szCs w:val="24"/>
              </w:rPr>
              <w:t>375</w:t>
            </w:r>
          </w:p>
        </w:tc>
      </w:tr>
      <w:tr w:rsidR="00963A7F" w:rsidRPr="004D2AD3" w:rsidTr="00EA1407">
        <w:tc>
          <w:tcPr>
            <w:tcW w:w="3095" w:type="dxa"/>
          </w:tcPr>
          <w:p w:rsidR="00963A7F" w:rsidRPr="004D2AD3" w:rsidRDefault="00963A7F" w:rsidP="004D2AD3">
            <w:pPr>
              <w:spacing w:after="0" w:line="240" w:lineRule="auto"/>
              <w:jc w:val="both"/>
              <w:rPr>
                <w:rFonts w:ascii="Times New Roman" w:hAnsi="Times New Roman"/>
                <w:sz w:val="24"/>
                <w:szCs w:val="24"/>
                <w:lang w:val="ru-RU"/>
              </w:rPr>
            </w:pPr>
            <w:r w:rsidRPr="004D2AD3">
              <w:rPr>
                <w:rFonts w:ascii="Times New Roman" w:hAnsi="Times New Roman"/>
                <w:sz w:val="24"/>
                <w:szCs w:val="24"/>
              </w:rPr>
              <w:t>Звичайні автомобільні дороги категорій ІІІ-</w:t>
            </w:r>
            <w:r w:rsidRPr="004D2AD3">
              <w:rPr>
                <w:rFonts w:ascii="Times New Roman" w:hAnsi="Times New Roman"/>
                <w:sz w:val="24"/>
                <w:szCs w:val="24"/>
                <w:lang w:val="en-US"/>
              </w:rPr>
              <w:t>V</w:t>
            </w:r>
          </w:p>
        </w:tc>
        <w:tc>
          <w:tcPr>
            <w:tcW w:w="3095" w:type="dxa"/>
            <w:vAlign w:val="center"/>
          </w:tcPr>
          <w:p w:rsidR="00963A7F" w:rsidRPr="004D2AD3" w:rsidRDefault="00963A7F" w:rsidP="00EA1407">
            <w:pPr>
              <w:spacing w:after="0" w:line="240" w:lineRule="auto"/>
              <w:jc w:val="center"/>
              <w:rPr>
                <w:rFonts w:ascii="Times New Roman" w:hAnsi="Times New Roman"/>
                <w:sz w:val="24"/>
                <w:szCs w:val="24"/>
              </w:rPr>
            </w:pPr>
            <w:r w:rsidRPr="004D2AD3">
              <w:rPr>
                <w:rFonts w:ascii="Times New Roman" w:hAnsi="Times New Roman"/>
                <w:sz w:val="24"/>
                <w:szCs w:val="24"/>
              </w:rPr>
              <w:t>500</w:t>
            </w:r>
          </w:p>
        </w:tc>
        <w:tc>
          <w:tcPr>
            <w:tcW w:w="3096" w:type="dxa"/>
            <w:vAlign w:val="center"/>
          </w:tcPr>
          <w:p w:rsidR="00963A7F" w:rsidRPr="004D2AD3" w:rsidRDefault="00963A7F" w:rsidP="00EA1407">
            <w:pPr>
              <w:spacing w:after="0" w:line="240" w:lineRule="auto"/>
              <w:jc w:val="center"/>
              <w:rPr>
                <w:rFonts w:ascii="Times New Roman" w:hAnsi="Times New Roman"/>
                <w:sz w:val="24"/>
                <w:szCs w:val="24"/>
              </w:rPr>
            </w:pPr>
            <w:r w:rsidRPr="004D2AD3">
              <w:rPr>
                <w:rFonts w:ascii="Times New Roman" w:hAnsi="Times New Roman"/>
                <w:sz w:val="24"/>
                <w:szCs w:val="24"/>
              </w:rPr>
              <w:t>250</w:t>
            </w:r>
          </w:p>
        </w:tc>
      </w:tr>
      <w:tr w:rsidR="00963A7F" w:rsidRPr="004D2AD3" w:rsidTr="00EA1407">
        <w:tc>
          <w:tcPr>
            <w:tcW w:w="3095" w:type="dxa"/>
          </w:tcPr>
          <w:p w:rsidR="00963A7F" w:rsidRPr="004D2AD3" w:rsidRDefault="00963A7F" w:rsidP="004D2AD3">
            <w:pPr>
              <w:spacing w:after="0" w:line="240" w:lineRule="auto"/>
              <w:jc w:val="both"/>
              <w:rPr>
                <w:rFonts w:ascii="Times New Roman" w:hAnsi="Times New Roman"/>
                <w:sz w:val="24"/>
                <w:szCs w:val="24"/>
              </w:rPr>
            </w:pPr>
            <w:r w:rsidRPr="004D2AD3">
              <w:rPr>
                <w:rFonts w:ascii="Times New Roman" w:hAnsi="Times New Roman"/>
                <w:sz w:val="24"/>
                <w:szCs w:val="24"/>
              </w:rPr>
              <w:t>Дворові території та гаражі з рухом:</w:t>
            </w:r>
          </w:p>
        </w:tc>
        <w:tc>
          <w:tcPr>
            <w:tcW w:w="3095" w:type="dxa"/>
            <w:vAlign w:val="center"/>
          </w:tcPr>
          <w:p w:rsidR="00963A7F" w:rsidRPr="004D2AD3" w:rsidRDefault="00963A7F" w:rsidP="00EA1407">
            <w:pPr>
              <w:spacing w:after="0" w:line="240" w:lineRule="auto"/>
              <w:jc w:val="center"/>
              <w:rPr>
                <w:rFonts w:ascii="Times New Roman" w:hAnsi="Times New Roman"/>
                <w:sz w:val="24"/>
                <w:szCs w:val="24"/>
              </w:rPr>
            </w:pPr>
          </w:p>
        </w:tc>
        <w:tc>
          <w:tcPr>
            <w:tcW w:w="3096" w:type="dxa"/>
            <w:vAlign w:val="center"/>
          </w:tcPr>
          <w:p w:rsidR="00963A7F" w:rsidRPr="004D2AD3" w:rsidRDefault="00963A7F" w:rsidP="00EA1407">
            <w:pPr>
              <w:spacing w:after="0" w:line="240" w:lineRule="auto"/>
              <w:jc w:val="center"/>
              <w:rPr>
                <w:rFonts w:ascii="Times New Roman" w:hAnsi="Times New Roman"/>
                <w:sz w:val="24"/>
                <w:szCs w:val="24"/>
              </w:rPr>
            </w:pPr>
          </w:p>
        </w:tc>
      </w:tr>
      <w:tr w:rsidR="00963A7F" w:rsidRPr="004D2AD3" w:rsidTr="00EA1407">
        <w:tc>
          <w:tcPr>
            <w:tcW w:w="3095" w:type="dxa"/>
          </w:tcPr>
          <w:p w:rsidR="00963A7F" w:rsidRPr="004D2AD3" w:rsidRDefault="00963A7F" w:rsidP="004D2AD3">
            <w:pPr>
              <w:spacing w:after="0" w:line="240" w:lineRule="auto"/>
              <w:jc w:val="both"/>
              <w:rPr>
                <w:rFonts w:ascii="Times New Roman" w:hAnsi="Times New Roman"/>
                <w:sz w:val="24"/>
                <w:szCs w:val="24"/>
              </w:rPr>
            </w:pPr>
            <w:r w:rsidRPr="004D2AD3">
              <w:rPr>
                <w:rFonts w:ascii="Times New Roman" w:hAnsi="Times New Roman"/>
                <w:sz w:val="24"/>
                <w:szCs w:val="24"/>
              </w:rPr>
              <w:t>Легкових автомобілів</w:t>
            </w:r>
          </w:p>
        </w:tc>
        <w:tc>
          <w:tcPr>
            <w:tcW w:w="3095" w:type="dxa"/>
            <w:vAlign w:val="center"/>
          </w:tcPr>
          <w:p w:rsidR="00963A7F" w:rsidRPr="004D2AD3" w:rsidRDefault="00963A7F" w:rsidP="00EA1407">
            <w:pPr>
              <w:spacing w:after="0" w:line="240" w:lineRule="auto"/>
              <w:jc w:val="center"/>
              <w:rPr>
                <w:rFonts w:ascii="Times New Roman" w:hAnsi="Times New Roman"/>
                <w:sz w:val="24"/>
                <w:szCs w:val="24"/>
              </w:rPr>
            </w:pPr>
            <w:r w:rsidRPr="004D2AD3">
              <w:rPr>
                <w:rFonts w:ascii="Times New Roman" w:hAnsi="Times New Roman"/>
                <w:sz w:val="24"/>
                <w:szCs w:val="24"/>
              </w:rPr>
              <w:t>50</w:t>
            </w:r>
          </w:p>
        </w:tc>
        <w:tc>
          <w:tcPr>
            <w:tcW w:w="3096" w:type="dxa"/>
            <w:vAlign w:val="center"/>
          </w:tcPr>
          <w:p w:rsidR="00963A7F" w:rsidRPr="004D2AD3" w:rsidRDefault="00963A7F" w:rsidP="00EA1407">
            <w:pPr>
              <w:spacing w:after="0" w:line="240" w:lineRule="auto"/>
              <w:jc w:val="center"/>
              <w:rPr>
                <w:rFonts w:ascii="Times New Roman" w:hAnsi="Times New Roman"/>
                <w:sz w:val="24"/>
                <w:szCs w:val="24"/>
              </w:rPr>
            </w:pPr>
            <w:r w:rsidRPr="004D2AD3">
              <w:rPr>
                <w:rFonts w:ascii="Times New Roman" w:hAnsi="Times New Roman"/>
                <w:sz w:val="24"/>
                <w:szCs w:val="24"/>
              </w:rPr>
              <w:t>25</w:t>
            </w:r>
          </w:p>
        </w:tc>
      </w:tr>
      <w:tr w:rsidR="00963A7F" w:rsidRPr="004D2AD3" w:rsidTr="00EA1407">
        <w:tc>
          <w:tcPr>
            <w:tcW w:w="3095" w:type="dxa"/>
          </w:tcPr>
          <w:p w:rsidR="00963A7F" w:rsidRPr="004D2AD3" w:rsidRDefault="00963A7F" w:rsidP="004D2AD3">
            <w:pPr>
              <w:spacing w:after="0" w:line="240" w:lineRule="auto"/>
              <w:jc w:val="both"/>
              <w:rPr>
                <w:rFonts w:ascii="Times New Roman" w:hAnsi="Times New Roman"/>
                <w:sz w:val="24"/>
                <w:szCs w:val="24"/>
              </w:rPr>
            </w:pPr>
            <w:r w:rsidRPr="004D2AD3">
              <w:rPr>
                <w:rFonts w:ascii="Times New Roman" w:hAnsi="Times New Roman"/>
                <w:sz w:val="24"/>
                <w:szCs w:val="24"/>
              </w:rPr>
              <w:t>Вантажних автомобілів (із загальною масою більше 3,5 т)</w:t>
            </w:r>
          </w:p>
        </w:tc>
        <w:tc>
          <w:tcPr>
            <w:tcW w:w="3095" w:type="dxa"/>
            <w:vAlign w:val="center"/>
          </w:tcPr>
          <w:p w:rsidR="00963A7F" w:rsidRPr="004D2AD3" w:rsidRDefault="00963A7F" w:rsidP="00EA1407">
            <w:pPr>
              <w:spacing w:after="0" w:line="240" w:lineRule="auto"/>
              <w:jc w:val="center"/>
              <w:rPr>
                <w:rFonts w:ascii="Times New Roman" w:hAnsi="Times New Roman"/>
                <w:sz w:val="24"/>
                <w:szCs w:val="24"/>
              </w:rPr>
            </w:pPr>
            <w:r w:rsidRPr="004D2AD3">
              <w:rPr>
                <w:rFonts w:ascii="Times New Roman" w:hAnsi="Times New Roman"/>
                <w:sz w:val="24"/>
                <w:szCs w:val="24"/>
              </w:rPr>
              <w:t>150</w:t>
            </w:r>
          </w:p>
        </w:tc>
        <w:tc>
          <w:tcPr>
            <w:tcW w:w="3096" w:type="dxa"/>
            <w:vAlign w:val="center"/>
          </w:tcPr>
          <w:p w:rsidR="00963A7F" w:rsidRPr="004D2AD3" w:rsidRDefault="00963A7F" w:rsidP="00EA1407">
            <w:pPr>
              <w:spacing w:after="0" w:line="240" w:lineRule="auto"/>
              <w:jc w:val="center"/>
              <w:rPr>
                <w:rFonts w:ascii="Times New Roman" w:hAnsi="Times New Roman"/>
                <w:sz w:val="24"/>
                <w:szCs w:val="24"/>
              </w:rPr>
            </w:pPr>
            <w:r w:rsidRPr="004D2AD3">
              <w:rPr>
                <w:rFonts w:ascii="Times New Roman" w:hAnsi="Times New Roman"/>
                <w:sz w:val="24"/>
                <w:szCs w:val="24"/>
              </w:rPr>
              <w:t>75</w:t>
            </w:r>
          </w:p>
        </w:tc>
      </w:tr>
    </w:tbl>
    <w:p w:rsidR="00963A7F" w:rsidRDefault="00963A7F" w:rsidP="000E48FE">
      <w:pPr>
        <w:spacing w:after="0" w:line="240" w:lineRule="auto"/>
        <w:ind w:firstLine="567"/>
        <w:jc w:val="both"/>
        <w:rPr>
          <w:rFonts w:ascii="Times New Roman" w:hAnsi="Times New Roman"/>
          <w:sz w:val="24"/>
          <w:szCs w:val="24"/>
        </w:rPr>
      </w:pPr>
      <w:r>
        <w:rPr>
          <w:rFonts w:ascii="Times New Roman" w:hAnsi="Times New Roman"/>
          <w:sz w:val="24"/>
          <w:szCs w:val="24"/>
        </w:rPr>
        <w:t>У правилах проектування також зазначається, що п</w:t>
      </w:r>
      <w:r w:rsidRPr="000D4A06">
        <w:rPr>
          <w:rFonts w:ascii="Times New Roman" w:hAnsi="Times New Roman"/>
          <w:sz w:val="24"/>
          <w:szCs w:val="24"/>
        </w:rPr>
        <w:t>ри локальному руйнуванні необхідно забезпечити несучу здатність як конструктивної системи споруди в цілому, так і прилеглих до локального руйнування конструктивних елементів. На вимогу замовника в завданні на проектування (на додаток до необхідних вимог по несучої здатності) можуть бути встановлені додаткові вимоги щодо забезпечення тріщиностійкості і деформативності конструкцій споруди при локальному руйнуванні</w:t>
      </w:r>
      <w:r w:rsidRPr="00A81D40">
        <w:rPr>
          <w:rFonts w:ascii="Times New Roman" w:hAnsi="Times New Roman"/>
          <w:sz w:val="24"/>
          <w:szCs w:val="24"/>
          <w:lang w:val="ru-RU"/>
        </w:rPr>
        <w:t xml:space="preserve"> [3]</w:t>
      </w:r>
      <w:r w:rsidRPr="000D4A06">
        <w:rPr>
          <w:rFonts w:ascii="Times New Roman" w:hAnsi="Times New Roman"/>
          <w:sz w:val="24"/>
          <w:szCs w:val="24"/>
        </w:rPr>
        <w:t>.</w:t>
      </w:r>
    </w:p>
    <w:p w:rsidR="00963A7F" w:rsidRDefault="00963A7F" w:rsidP="000E48FE">
      <w:pPr>
        <w:spacing w:after="0" w:line="240" w:lineRule="auto"/>
        <w:ind w:firstLine="567"/>
        <w:jc w:val="both"/>
        <w:rPr>
          <w:rFonts w:ascii="Times New Roman" w:hAnsi="Times New Roman"/>
          <w:sz w:val="24"/>
          <w:szCs w:val="24"/>
        </w:rPr>
      </w:pPr>
    </w:p>
    <w:p w:rsidR="00963A7F" w:rsidRPr="00513D65" w:rsidRDefault="00963A7F" w:rsidP="00513D65">
      <w:pPr>
        <w:pStyle w:val="ListParagraph"/>
        <w:ind w:left="0" w:firstLine="567"/>
        <w:jc w:val="both"/>
        <w:rPr>
          <w:sz w:val="24"/>
          <w:szCs w:val="24"/>
        </w:rPr>
      </w:pPr>
      <w:r w:rsidRPr="00513D65">
        <w:rPr>
          <w:b/>
          <w:sz w:val="24"/>
          <w:szCs w:val="24"/>
        </w:rPr>
        <w:t xml:space="preserve">Розрахунок споруди на стійкість проти прогресуючого руйнування. </w:t>
      </w:r>
      <w:r w:rsidRPr="00513D65">
        <w:rPr>
          <w:sz w:val="24"/>
          <w:szCs w:val="24"/>
        </w:rPr>
        <w:t>Зусилля в конструктивних елементах і їх з'єднаннях отримані на підставі проведеного розрахунку при локальному руйнуванні, необхідно порівняти з їх несучу здатність.</w:t>
      </w:r>
    </w:p>
    <w:p w:rsidR="00963A7F" w:rsidRDefault="00963A7F" w:rsidP="00513D65">
      <w:pPr>
        <w:spacing w:after="0" w:line="240" w:lineRule="auto"/>
        <w:ind w:firstLine="567"/>
        <w:jc w:val="both"/>
        <w:rPr>
          <w:rFonts w:ascii="Times New Roman" w:hAnsi="Times New Roman"/>
          <w:sz w:val="24"/>
          <w:szCs w:val="24"/>
        </w:rPr>
      </w:pPr>
      <w:r w:rsidRPr="000D4A06">
        <w:rPr>
          <w:rFonts w:ascii="Times New Roman" w:hAnsi="Times New Roman"/>
          <w:sz w:val="24"/>
          <w:szCs w:val="24"/>
        </w:rPr>
        <w:t>Захист споруди від прогресуючого обвалення забезпечено, якщо для будь-яких елементів і їх з'єднань виконується умова</w:t>
      </w:r>
      <w:r>
        <w:rPr>
          <w:rFonts w:ascii="Times New Roman" w:hAnsi="Times New Roman"/>
          <w:sz w:val="24"/>
          <w:szCs w:val="24"/>
        </w:rPr>
        <w:t>:</w:t>
      </w:r>
    </w:p>
    <w:p w:rsidR="00963A7F" w:rsidRDefault="00963A7F" w:rsidP="00513D65">
      <w:pPr>
        <w:spacing w:after="0" w:line="240" w:lineRule="auto"/>
        <w:jc w:val="center"/>
        <w:rPr>
          <w:sz w:val="26"/>
          <w:szCs w:val="26"/>
        </w:rPr>
      </w:pPr>
      <w:r w:rsidRPr="00175E9F">
        <w:rPr>
          <w:position w:val="-10"/>
          <w:sz w:val="26"/>
          <w:szCs w:val="26"/>
        </w:rPr>
        <w:object w:dxaOrig="720" w:dyaOrig="320">
          <v:shape id="_x0000_i1027" type="#_x0000_t75" style="width:36pt;height:15.75pt" o:ole="">
            <v:imagedata r:id="rId6" o:title=""/>
          </v:shape>
          <o:OLEObject Type="Embed" ProgID="Equation.3" ShapeID="_x0000_i1027" DrawAspect="Content" ObjectID="_1606281165" r:id="rId7"/>
        </w:object>
      </w:r>
    </w:p>
    <w:p w:rsidR="00963A7F" w:rsidRPr="000D4A06" w:rsidRDefault="00963A7F" w:rsidP="00513D65">
      <w:pPr>
        <w:spacing w:after="0" w:line="240" w:lineRule="auto"/>
        <w:ind w:firstLine="567"/>
        <w:jc w:val="both"/>
        <w:rPr>
          <w:rFonts w:ascii="Times New Roman" w:hAnsi="Times New Roman"/>
          <w:sz w:val="24"/>
          <w:szCs w:val="24"/>
        </w:rPr>
      </w:pPr>
      <w:r w:rsidRPr="000D4A06">
        <w:rPr>
          <w:rFonts w:ascii="Times New Roman" w:hAnsi="Times New Roman"/>
          <w:sz w:val="24"/>
          <w:szCs w:val="24"/>
        </w:rPr>
        <w:t xml:space="preserve">де </w:t>
      </w:r>
      <w:r w:rsidRPr="00513D65">
        <w:rPr>
          <w:rFonts w:ascii="Times New Roman" w:hAnsi="Times New Roman"/>
          <w:i/>
          <w:sz w:val="24"/>
          <w:szCs w:val="24"/>
        </w:rPr>
        <w:t>F</w:t>
      </w:r>
      <w:r w:rsidRPr="000D4A06">
        <w:rPr>
          <w:rFonts w:ascii="Times New Roman" w:hAnsi="Times New Roman"/>
          <w:sz w:val="24"/>
          <w:szCs w:val="24"/>
        </w:rPr>
        <w:t xml:space="preserve"> </w:t>
      </w:r>
      <w:r>
        <w:rPr>
          <w:rFonts w:ascii="Times New Roman" w:hAnsi="Times New Roman"/>
          <w:sz w:val="24"/>
          <w:szCs w:val="24"/>
        </w:rPr>
        <w:t xml:space="preserve">– </w:t>
      </w:r>
      <w:r w:rsidRPr="000D4A06">
        <w:rPr>
          <w:rFonts w:ascii="Times New Roman" w:hAnsi="Times New Roman"/>
          <w:sz w:val="24"/>
          <w:szCs w:val="24"/>
        </w:rPr>
        <w:t xml:space="preserve">зусилля в конструктивних елементах або </w:t>
      </w:r>
      <w:r>
        <w:rPr>
          <w:rFonts w:ascii="Times New Roman" w:hAnsi="Times New Roman"/>
          <w:sz w:val="24"/>
          <w:szCs w:val="24"/>
        </w:rPr>
        <w:t xml:space="preserve">в </w:t>
      </w:r>
      <w:r w:rsidRPr="000D4A06">
        <w:rPr>
          <w:rFonts w:ascii="Times New Roman" w:hAnsi="Times New Roman"/>
          <w:sz w:val="24"/>
          <w:szCs w:val="24"/>
        </w:rPr>
        <w:t>їх</w:t>
      </w:r>
      <w:r>
        <w:rPr>
          <w:rFonts w:ascii="Times New Roman" w:hAnsi="Times New Roman"/>
          <w:sz w:val="24"/>
          <w:szCs w:val="24"/>
        </w:rPr>
        <w:t>ніх</w:t>
      </w:r>
      <w:r w:rsidRPr="000D4A06">
        <w:rPr>
          <w:rFonts w:ascii="Times New Roman" w:hAnsi="Times New Roman"/>
          <w:sz w:val="24"/>
          <w:szCs w:val="24"/>
        </w:rPr>
        <w:t xml:space="preserve"> з'єднаннях, знайдені з виконаного розрахунку, </w:t>
      </w:r>
      <w:r w:rsidRPr="00513D65">
        <w:rPr>
          <w:rFonts w:ascii="Times New Roman" w:hAnsi="Times New Roman"/>
          <w:i/>
          <w:sz w:val="24"/>
          <w:szCs w:val="24"/>
        </w:rPr>
        <w:t>S</w:t>
      </w:r>
      <w:r w:rsidRPr="000D4A06">
        <w:rPr>
          <w:rFonts w:ascii="Times New Roman" w:hAnsi="Times New Roman"/>
          <w:sz w:val="24"/>
          <w:szCs w:val="24"/>
        </w:rPr>
        <w:t xml:space="preserve"> </w:t>
      </w:r>
      <w:r>
        <w:rPr>
          <w:rFonts w:ascii="Times New Roman" w:hAnsi="Times New Roman"/>
          <w:sz w:val="24"/>
          <w:szCs w:val="24"/>
        </w:rPr>
        <w:t xml:space="preserve">– </w:t>
      </w:r>
      <w:r w:rsidRPr="000D4A06">
        <w:rPr>
          <w:rFonts w:ascii="Times New Roman" w:hAnsi="Times New Roman"/>
          <w:sz w:val="24"/>
          <w:szCs w:val="24"/>
        </w:rPr>
        <w:t xml:space="preserve">несуча здатність конструктивних елементів </w:t>
      </w:r>
      <w:r>
        <w:rPr>
          <w:rFonts w:ascii="Times New Roman" w:hAnsi="Times New Roman"/>
          <w:sz w:val="24"/>
          <w:szCs w:val="24"/>
        </w:rPr>
        <w:t>та</w:t>
      </w:r>
      <w:r w:rsidRPr="000D4A06">
        <w:rPr>
          <w:rFonts w:ascii="Times New Roman" w:hAnsi="Times New Roman"/>
          <w:sz w:val="24"/>
          <w:szCs w:val="24"/>
        </w:rPr>
        <w:t xml:space="preserve"> їх</w:t>
      </w:r>
      <w:r>
        <w:rPr>
          <w:rFonts w:ascii="Times New Roman" w:hAnsi="Times New Roman"/>
          <w:sz w:val="24"/>
          <w:szCs w:val="24"/>
        </w:rPr>
        <w:t>ніх</w:t>
      </w:r>
      <w:r w:rsidRPr="000D4A06">
        <w:rPr>
          <w:rFonts w:ascii="Times New Roman" w:hAnsi="Times New Roman"/>
          <w:sz w:val="24"/>
          <w:szCs w:val="24"/>
        </w:rPr>
        <w:t xml:space="preserve"> з'єднань</w:t>
      </w:r>
      <w:r>
        <w:rPr>
          <w:rFonts w:ascii="Times New Roman" w:hAnsi="Times New Roman"/>
          <w:sz w:val="24"/>
          <w:szCs w:val="24"/>
        </w:rPr>
        <w:t>.</w:t>
      </w:r>
    </w:p>
    <w:p w:rsidR="00963A7F" w:rsidRPr="000D4A06" w:rsidRDefault="00963A7F" w:rsidP="000D4A06">
      <w:pPr>
        <w:spacing w:after="0" w:line="240" w:lineRule="auto"/>
        <w:ind w:firstLine="567"/>
        <w:jc w:val="both"/>
        <w:rPr>
          <w:rFonts w:ascii="Times New Roman" w:hAnsi="Times New Roman"/>
          <w:sz w:val="24"/>
          <w:szCs w:val="24"/>
        </w:rPr>
      </w:pPr>
      <w:r w:rsidRPr="000D4A06">
        <w:rPr>
          <w:rFonts w:ascii="Times New Roman" w:hAnsi="Times New Roman"/>
          <w:sz w:val="24"/>
          <w:szCs w:val="24"/>
        </w:rPr>
        <w:t>При розрахунку споруд на стійкість проти прогресуючого обвалення розрахункові характеристики міцності і деформаційні характеристики матеріалів приймаються рівними їх нормативним значенням, що визначаються відповідно до чинних нормативних документів.</w:t>
      </w:r>
    </w:p>
    <w:p w:rsidR="00963A7F" w:rsidRPr="000D4A06" w:rsidRDefault="00963A7F" w:rsidP="000D4A06">
      <w:pPr>
        <w:spacing w:after="0" w:line="240" w:lineRule="auto"/>
        <w:ind w:firstLine="567"/>
        <w:jc w:val="both"/>
        <w:rPr>
          <w:rFonts w:ascii="Times New Roman" w:hAnsi="Times New Roman"/>
          <w:sz w:val="24"/>
          <w:szCs w:val="24"/>
        </w:rPr>
      </w:pPr>
      <w:r w:rsidRPr="000D4A06">
        <w:rPr>
          <w:rFonts w:ascii="Times New Roman" w:hAnsi="Times New Roman"/>
          <w:sz w:val="24"/>
          <w:szCs w:val="24"/>
        </w:rPr>
        <w:t>При розрахунку споруд на стійкість проти прогресуючого обвалення коефіцієнти надійності за навантаженням слід приймати</w:t>
      </w:r>
      <w:r>
        <w:rPr>
          <w:rFonts w:ascii="Times New Roman" w:hAnsi="Times New Roman"/>
          <w:sz w:val="24"/>
          <w:szCs w:val="24"/>
        </w:rPr>
        <w:t xml:space="preserve"> </w:t>
      </w:r>
      <w:r w:rsidRPr="006E790B">
        <w:rPr>
          <w:position w:val="-14"/>
          <w:sz w:val="26"/>
          <w:szCs w:val="26"/>
        </w:rPr>
        <w:object w:dxaOrig="840" w:dyaOrig="380">
          <v:shape id="_x0000_i1028" type="#_x0000_t75" style="width:41.25pt;height:18.75pt" o:ole="">
            <v:imagedata r:id="rId8" o:title=""/>
          </v:shape>
          <o:OLEObject Type="Embed" ProgID="Equation.3" ShapeID="_x0000_i1028" DrawAspect="Content" ObjectID="_1606281166" r:id="rId9"/>
        </w:object>
      </w:r>
      <w:r w:rsidRPr="000D4A06">
        <w:rPr>
          <w:rFonts w:ascii="Times New Roman" w:hAnsi="Times New Roman"/>
          <w:sz w:val="24"/>
          <w:szCs w:val="24"/>
        </w:rPr>
        <w:t>.</w:t>
      </w:r>
    </w:p>
    <w:p w:rsidR="00963A7F" w:rsidRPr="000D4A06" w:rsidRDefault="00963A7F" w:rsidP="000D4A06">
      <w:pPr>
        <w:spacing w:after="0" w:line="240" w:lineRule="auto"/>
        <w:ind w:firstLine="567"/>
        <w:jc w:val="both"/>
        <w:rPr>
          <w:rFonts w:ascii="Times New Roman" w:hAnsi="Times New Roman"/>
          <w:sz w:val="24"/>
          <w:szCs w:val="24"/>
        </w:rPr>
      </w:pPr>
      <w:r w:rsidRPr="000D4A06">
        <w:rPr>
          <w:rFonts w:ascii="Times New Roman" w:hAnsi="Times New Roman"/>
          <w:sz w:val="24"/>
          <w:szCs w:val="24"/>
        </w:rPr>
        <w:t>Розрахунок споруд на стійкість проти прогресуючого обвалення слід виконувати на поєднання навантажень</w:t>
      </w:r>
      <w:r>
        <w:rPr>
          <w:rFonts w:ascii="Times New Roman" w:hAnsi="Times New Roman"/>
          <w:sz w:val="24"/>
          <w:szCs w:val="24"/>
        </w:rPr>
        <w:t xml:space="preserve"> </w:t>
      </w:r>
      <w:r w:rsidRPr="006E790B">
        <w:rPr>
          <w:position w:val="-12"/>
          <w:sz w:val="26"/>
          <w:szCs w:val="26"/>
        </w:rPr>
        <w:object w:dxaOrig="460" w:dyaOrig="380">
          <v:shape id="_x0000_i1029" type="#_x0000_t75" style="width:23.25pt;height:18.75pt" o:ole="">
            <v:imagedata r:id="rId10" o:title=""/>
          </v:shape>
          <o:OLEObject Type="Embed" ProgID="Equation.3" ShapeID="_x0000_i1029" DrawAspect="Content" ObjectID="_1606281167" r:id="rId11"/>
        </w:object>
      </w:r>
      <w:r w:rsidRPr="000D4A06">
        <w:rPr>
          <w:rFonts w:ascii="Times New Roman" w:hAnsi="Times New Roman"/>
          <w:sz w:val="24"/>
          <w:szCs w:val="24"/>
        </w:rPr>
        <w:t>, що складається з постійних</w:t>
      </w:r>
      <w:r>
        <w:rPr>
          <w:rFonts w:ascii="Times New Roman" w:hAnsi="Times New Roman"/>
          <w:sz w:val="24"/>
          <w:szCs w:val="24"/>
        </w:rPr>
        <w:t xml:space="preserve"> </w:t>
      </w:r>
      <w:r w:rsidRPr="006E790B">
        <w:rPr>
          <w:position w:val="-12"/>
          <w:sz w:val="26"/>
          <w:szCs w:val="26"/>
        </w:rPr>
        <w:object w:dxaOrig="300" w:dyaOrig="360">
          <v:shape id="_x0000_i1030" type="#_x0000_t75" style="width:15pt;height:18pt" o:ole="">
            <v:imagedata r:id="rId12" o:title=""/>
          </v:shape>
          <o:OLEObject Type="Embed" ProgID="Equation.3" ShapeID="_x0000_i1030" DrawAspect="Content" ObjectID="_1606281168" r:id="rId13"/>
        </w:object>
      </w:r>
      <w:r w:rsidRPr="000D4A06">
        <w:rPr>
          <w:rFonts w:ascii="Times New Roman" w:hAnsi="Times New Roman"/>
          <w:sz w:val="24"/>
          <w:szCs w:val="24"/>
        </w:rPr>
        <w:t xml:space="preserve"> і тривалих</w:t>
      </w:r>
      <w:r>
        <w:rPr>
          <w:rFonts w:ascii="Times New Roman" w:hAnsi="Times New Roman"/>
          <w:sz w:val="24"/>
          <w:szCs w:val="24"/>
        </w:rPr>
        <w:t xml:space="preserve"> </w:t>
      </w:r>
      <w:r w:rsidRPr="006E790B">
        <w:rPr>
          <w:position w:val="-12"/>
          <w:sz w:val="26"/>
          <w:szCs w:val="26"/>
        </w:rPr>
        <w:object w:dxaOrig="260" w:dyaOrig="360">
          <v:shape id="_x0000_i1031" type="#_x0000_t75" style="width:13.5pt;height:18pt" o:ole="">
            <v:imagedata r:id="rId14" o:title=""/>
          </v:shape>
          <o:OLEObject Type="Embed" ProgID="Equation.3" ShapeID="_x0000_i1031" DrawAspect="Content" ObjectID="_1606281169" r:id="rId15"/>
        </w:object>
      </w:r>
      <w:r>
        <w:rPr>
          <w:position w:val="-12"/>
          <w:sz w:val="26"/>
          <w:szCs w:val="26"/>
        </w:rPr>
        <w:t xml:space="preserve"> </w:t>
      </w:r>
      <w:r>
        <w:rPr>
          <w:rFonts w:ascii="Times New Roman" w:hAnsi="Times New Roman"/>
          <w:sz w:val="24"/>
          <w:szCs w:val="24"/>
        </w:rPr>
        <w:t>навантажень,</w:t>
      </w:r>
      <w:r w:rsidRPr="000D4A06">
        <w:rPr>
          <w:rFonts w:ascii="Times New Roman" w:hAnsi="Times New Roman"/>
          <w:sz w:val="24"/>
          <w:szCs w:val="24"/>
        </w:rPr>
        <w:t xml:space="preserve"> з урахуванням зміни розрахункової схеми, викликан</w:t>
      </w:r>
      <w:r>
        <w:rPr>
          <w:rFonts w:ascii="Times New Roman" w:hAnsi="Times New Roman"/>
          <w:sz w:val="24"/>
          <w:szCs w:val="24"/>
        </w:rPr>
        <w:t>ої</w:t>
      </w:r>
      <w:r w:rsidRPr="000D4A06">
        <w:rPr>
          <w:rFonts w:ascii="Times New Roman" w:hAnsi="Times New Roman"/>
          <w:sz w:val="24"/>
          <w:szCs w:val="24"/>
        </w:rPr>
        <w:t xml:space="preserve"> локальним руйнуванням.</w:t>
      </w:r>
    </w:p>
    <w:p w:rsidR="00963A7F" w:rsidRPr="000D4A06" w:rsidRDefault="00963A7F" w:rsidP="000D4A06">
      <w:pPr>
        <w:spacing w:after="0" w:line="240" w:lineRule="auto"/>
        <w:ind w:firstLine="567"/>
        <w:jc w:val="center"/>
        <w:rPr>
          <w:rFonts w:ascii="Times New Roman" w:hAnsi="Times New Roman"/>
          <w:sz w:val="24"/>
          <w:szCs w:val="24"/>
        </w:rPr>
      </w:pPr>
      <w:r w:rsidRPr="006E790B">
        <w:rPr>
          <w:position w:val="-12"/>
          <w:sz w:val="26"/>
          <w:szCs w:val="26"/>
        </w:rPr>
        <w:object w:dxaOrig="1400" w:dyaOrig="380">
          <v:shape id="_x0000_i1032" type="#_x0000_t75" style="width:68.25pt;height:18.75pt" o:ole="">
            <v:imagedata r:id="rId16" o:title=""/>
          </v:shape>
          <o:OLEObject Type="Embed" ProgID="Equation.3" ShapeID="_x0000_i1032" DrawAspect="Content" ObjectID="_1606281170" r:id="rId17"/>
        </w:object>
      </w:r>
    </w:p>
    <w:p w:rsidR="00963A7F" w:rsidRPr="000D4A06" w:rsidRDefault="00963A7F" w:rsidP="000D4A06">
      <w:pPr>
        <w:spacing w:after="0" w:line="240" w:lineRule="auto"/>
        <w:ind w:firstLine="567"/>
        <w:jc w:val="both"/>
        <w:rPr>
          <w:rFonts w:ascii="Times New Roman" w:hAnsi="Times New Roman"/>
          <w:sz w:val="24"/>
          <w:szCs w:val="24"/>
        </w:rPr>
      </w:pPr>
      <w:r w:rsidRPr="000D4A06">
        <w:rPr>
          <w:rFonts w:ascii="Times New Roman" w:hAnsi="Times New Roman"/>
          <w:sz w:val="24"/>
          <w:szCs w:val="24"/>
        </w:rPr>
        <w:t>Коефіцієнт надійності по відповідальності при розрахунку споруд на стійкість проти прогресуючого обвалення слід приймати</w:t>
      </w:r>
      <w:r>
        <w:rPr>
          <w:rFonts w:ascii="Times New Roman" w:hAnsi="Times New Roman"/>
          <w:sz w:val="24"/>
          <w:szCs w:val="24"/>
        </w:rPr>
        <w:t xml:space="preserve"> </w:t>
      </w:r>
      <w:r w:rsidRPr="006E790B">
        <w:rPr>
          <w:position w:val="-12"/>
          <w:sz w:val="26"/>
          <w:szCs w:val="26"/>
        </w:rPr>
        <w:object w:dxaOrig="820" w:dyaOrig="360">
          <v:shape id="_x0000_i1033" type="#_x0000_t75" style="width:40.5pt;height:18pt" o:ole="">
            <v:imagedata r:id="rId18" o:title=""/>
          </v:shape>
          <o:OLEObject Type="Embed" ProgID="Equation.3" ShapeID="_x0000_i1033" DrawAspect="Content" ObjectID="_1606281171" r:id="rId19"/>
        </w:object>
      </w:r>
      <w:r w:rsidRPr="000D4A06">
        <w:rPr>
          <w:rFonts w:ascii="Times New Roman" w:hAnsi="Times New Roman"/>
          <w:sz w:val="24"/>
          <w:szCs w:val="24"/>
        </w:rPr>
        <w:t>. У завданні на проектування замовником може бути встановлений коефіцієнт надійності по відповідальності</w:t>
      </w:r>
      <w:r>
        <w:rPr>
          <w:rFonts w:ascii="Times New Roman" w:hAnsi="Times New Roman"/>
          <w:sz w:val="24"/>
          <w:szCs w:val="24"/>
        </w:rPr>
        <w:t xml:space="preserve"> </w:t>
      </w:r>
      <w:r w:rsidRPr="006E790B">
        <w:rPr>
          <w:position w:val="-12"/>
          <w:sz w:val="26"/>
          <w:szCs w:val="26"/>
        </w:rPr>
        <w:object w:dxaOrig="820" w:dyaOrig="360">
          <v:shape id="_x0000_i1034" type="#_x0000_t75" style="width:40.5pt;height:18pt" o:ole="">
            <v:imagedata r:id="rId20" o:title=""/>
          </v:shape>
          <o:OLEObject Type="Embed" ProgID="Equation.3" ShapeID="_x0000_i1034" DrawAspect="Content" ObjectID="_1606281172" r:id="rId21"/>
        </w:object>
      </w:r>
      <w:r w:rsidRPr="000D4A06">
        <w:rPr>
          <w:rFonts w:ascii="Times New Roman" w:hAnsi="Times New Roman"/>
          <w:sz w:val="24"/>
          <w:szCs w:val="24"/>
        </w:rPr>
        <w:t>.</w:t>
      </w:r>
    </w:p>
    <w:p w:rsidR="00963A7F" w:rsidRPr="000D4A06" w:rsidRDefault="00963A7F" w:rsidP="000D4A06">
      <w:pPr>
        <w:spacing w:after="0" w:line="240" w:lineRule="auto"/>
        <w:ind w:firstLine="567"/>
        <w:jc w:val="both"/>
        <w:rPr>
          <w:rFonts w:ascii="Times New Roman" w:hAnsi="Times New Roman"/>
          <w:sz w:val="24"/>
          <w:szCs w:val="24"/>
        </w:rPr>
      </w:pPr>
      <w:r w:rsidRPr="000D4A06">
        <w:rPr>
          <w:rFonts w:ascii="Times New Roman" w:hAnsi="Times New Roman"/>
          <w:sz w:val="24"/>
          <w:szCs w:val="24"/>
        </w:rPr>
        <w:t>Для розрахунку споруд на стійкість проти прогресуючого обвалення слід використовувати просторову розрахункову модель, в якій враховується взаємодія з ґрунтовою основою. У розрахункової моделі слід враховувати можливе включення в роботу елементів, які за нормальних умов експлуатації споруди є ненесучими (наприклад, навісні зовнішні стінові панелі, парапети, залізобетонні огорожі балконів, перегородки і т.п.), а при локальному руйнуванні активно беруть участь в перерозподілі зусиль в елементах конструктивної системи.</w:t>
      </w:r>
    </w:p>
    <w:p w:rsidR="00963A7F" w:rsidRPr="000D4A06" w:rsidRDefault="00963A7F" w:rsidP="000D4A06">
      <w:pPr>
        <w:spacing w:after="0" w:line="240" w:lineRule="auto"/>
        <w:ind w:firstLine="567"/>
        <w:jc w:val="both"/>
        <w:rPr>
          <w:rFonts w:ascii="Times New Roman" w:hAnsi="Times New Roman"/>
          <w:sz w:val="24"/>
          <w:szCs w:val="24"/>
        </w:rPr>
      </w:pPr>
      <w:r w:rsidRPr="000D4A06">
        <w:rPr>
          <w:rFonts w:ascii="Times New Roman" w:hAnsi="Times New Roman"/>
          <w:sz w:val="24"/>
          <w:szCs w:val="24"/>
        </w:rPr>
        <w:t>При розрахунку споруд на стійкість проти прогресуючого обвалення слід передбачати можливість стадійного розрахунку. На початковій стадії необхідно визначити напружено-деформований стан конструкцій за умов нормальної експлуатації. На наступних стадіях слід визначати напружено-деформований стан конструкцій, що виникає при локальному руйнуванні, за умови врахування деформацій конструкцій, що виникли в результаті нормальної експлуатації.</w:t>
      </w:r>
    </w:p>
    <w:p w:rsidR="00963A7F" w:rsidRPr="000D4A06" w:rsidRDefault="00963A7F" w:rsidP="000D4A06">
      <w:pPr>
        <w:spacing w:after="0" w:line="240" w:lineRule="auto"/>
        <w:ind w:firstLine="567"/>
        <w:jc w:val="both"/>
        <w:rPr>
          <w:rFonts w:ascii="Times New Roman" w:hAnsi="Times New Roman"/>
          <w:sz w:val="24"/>
          <w:szCs w:val="24"/>
        </w:rPr>
      </w:pPr>
      <w:r w:rsidRPr="000D4A06">
        <w:rPr>
          <w:rFonts w:ascii="Times New Roman" w:hAnsi="Times New Roman"/>
          <w:sz w:val="24"/>
          <w:szCs w:val="24"/>
        </w:rPr>
        <w:t>У розрахунков</w:t>
      </w:r>
      <w:r>
        <w:rPr>
          <w:rFonts w:ascii="Times New Roman" w:hAnsi="Times New Roman"/>
          <w:sz w:val="24"/>
          <w:szCs w:val="24"/>
        </w:rPr>
        <w:t>ій</w:t>
      </w:r>
      <w:r w:rsidRPr="000D4A06">
        <w:rPr>
          <w:rFonts w:ascii="Times New Roman" w:hAnsi="Times New Roman"/>
          <w:sz w:val="24"/>
          <w:szCs w:val="24"/>
        </w:rPr>
        <w:t xml:space="preserve"> моделі споруди слід враховувати реальну діаграму роботи матеріалу конструкцій і їх</w:t>
      </w:r>
      <w:r>
        <w:rPr>
          <w:rFonts w:ascii="Times New Roman" w:hAnsi="Times New Roman"/>
          <w:sz w:val="24"/>
          <w:szCs w:val="24"/>
        </w:rPr>
        <w:t>ніх</w:t>
      </w:r>
      <w:r w:rsidRPr="000D4A06">
        <w:rPr>
          <w:rFonts w:ascii="Times New Roman" w:hAnsi="Times New Roman"/>
          <w:sz w:val="24"/>
          <w:szCs w:val="24"/>
        </w:rPr>
        <w:t xml:space="preserve"> стиків (розшарування цегляної кладки при роботі конструкції на розтяг; несприйняття в платформеном</w:t>
      </w:r>
      <w:r>
        <w:rPr>
          <w:rFonts w:ascii="Times New Roman" w:hAnsi="Times New Roman"/>
          <w:sz w:val="24"/>
          <w:szCs w:val="24"/>
        </w:rPr>
        <w:t>у</w:t>
      </w:r>
      <w:r w:rsidRPr="000D4A06">
        <w:rPr>
          <w:rFonts w:ascii="Times New Roman" w:hAnsi="Times New Roman"/>
          <w:sz w:val="24"/>
          <w:szCs w:val="24"/>
        </w:rPr>
        <w:t xml:space="preserve"> стику напру</w:t>
      </w:r>
      <w:r>
        <w:rPr>
          <w:rFonts w:ascii="Times New Roman" w:hAnsi="Times New Roman"/>
          <w:sz w:val="24"/>
          <w:szCs w:val="24"/>
        </w:rPr>
        <w:t>жень розтягу</w:t>
      </w:r>
      <w:r w:rsidRPr="000D4A06">
        <w:rPr>
          <w:rFonts w:ascii="Times New Roman" w:hAnsi="Times New Roman"/>
          <w:sz w:val="24"/>
          <w:szCs w:val="24"/>
        </w:rPr>
        <w:t>, крихке руйнування конструкцій і вузлів їх сполучення і т.п.).</w:t>
      </w:r>
    </w:p>
    <w:p w:rsidR="00963A7F" w:rsidRPr="000D4A06" w:rsidRDefault="00963A7F" w:rsidP="000D4A06">
      <w:pPr>
        <w:spacing w:after="0" w:line="240" w:lineRule="auto"/>
        <w:ind w:firstLine="567"/>
        <w:jc w:val="both"/>
        <w:rPr>
          <w:rFonts w:ascii="Times New Roman" w:hAnsi="Times New Roman"/>
          <w:sz w:val="24"/>
          <w:szCs w:val="24"/>
        </w:rPr>
      </w:pPr>
      <w:r w:rsidRPr="000D4A06">
        <w:rPr>
          <w:rFonts w:ascii="Times New Roman" w:hAnsi="Times New Roman"/>
          <w:sz w:val="24"/>
          <w:szCs w:val="24"/>
        </w:rPr>
        <w:t>Основними конструктивними заходами щодо захисту споруд від прогресуючого обвалення є:</w:t>
      </w:r>
    </w:p>
    <w:p w:rsidR="00963A7F" w:rsidRPr="000D4A06" w:rsidRDefault="00963A7F" w:rsidP="00513D65">
      <w:pPr>
        <w:pStyle w:val="ListParagraph"/>
        <w:numPr>
          <w:ilvl w:val="0"/>
          <w:numId w:val="5"/>
        </w:numPr>
        <w:ind w:left="1080"/>
        <w:jc w:val="both"/>
        <w:rPr>
          <w:sz w:val="24"/>
          <w:szCs w:val="24"/>
        </w:rPr>
      </w:pPr>
      <w:r>
        <w:rPr>
          <w:sz w:val="24"/>
          <w:szCs w:val="24"/>
        </w:rPr>
        <w:t>з</w:t>
      </w:r>
      <w:r w:rsidRPr="000D4A06">
        <w:rPr>
          <w:sz w:val="24"/>
          <w:szCs w:val="24"/>
        </w:rPr>
        <w:t>абезпечення необхідної несучої здатності конструктивних елементів і з'єднань між ними при аварійному впливі, що при</w:t>
      </w:r>
      <w:r>
        <w:rPr>
          <w:sz w:val="24"/>
          <w:szCs w:val="24"/>
        </w:rPr>
        <w:t>з</w:t>
      </w:r>
      <w:r w:rsidRPr="000D4A06">
        <w:rPr>
          <w:sz w:val="24"/>
          <w:szCs w:val="24"/>
        </w:rPr>
        <w:t>водить до локального руйнування;</w:t>
      </w:r>
    </w:p>
    <w:p w:rsidR="00963A7F" w:rsidRPr="000D4A06" w:rsidRDefault="00963A7F" w:rsidP="00513D65">
      <w:pPr>
        <w:pStyle w:val="ListParagraph"/>
        <w:numPr>
          <w:ilvl w:val="0"/>
          <w:numId w:val="5"/>
        </w:numPr>
        <w:ind w:left="1080"/>
        <w:jc w:val="both"/>
        <w:rPr>
          <w:sz w:val="24"/>
          <w:szCs w:val="24"/>
        </w:rPr>
      </w:pPr>
      <w:r w:rsidRPr="000D4A06">
        <w:rPr>
          <w:sz w:val="24"/>
          <w:szCs w:val="24"/>
        </w:rPr>
        <w:t>забезпечення необхідних пластичних деформацій у з'єднаннях конструктивних елементів.</w:t>
      </w:r>
    </w:p>
    <w:p w:rsidR="00963A7F" w:rsidRPr="000D4A06" w:rsidRDefault="00963A7F" w:rsidP="00513D65">
      <w:pPr>
        <w:pStyle w:val="ListParagraph"/>
        <w:numPr>
          <w:ilvl w:val="0"/>
          <w:numId w:val="5"/>
        </w:numPr>
        <w:ind w:left="1080"/>
        <w:jc w:val="both"/>
        <w:rPr>
          <w:sz w:val="24"/>
          <w:szCs w:val="24"/>
        </w:rPr>
      </w:pPr>
      <w:r w:rsidRPr="000D4A06">
        <w:rPr>
          <w:sz w:val="24"/>
          <w:szCs w:val="24"/>
        </w:rPr>
        <w:t>забезпечення в шпонкових з'єднаннях міцності окремих шпонок на зріз в 1,5 рази вище їх міцності на зминання;</w:t>
      </w:r>
    </w:p>
    <w:p w:rsidR="00963A7F" w:rsidRPr="000D4A06" w:rsidRDefault="00963A7F" w:rsidP="00513D65">
      <w:pPr>
        <w:pStyle w:val="ListParagraph"/>
        <w:numPr>
          <w:ilvl w:val="0"/>
          <w:numId w:val="5"/>
        </w:numPr>
        <w:ind w:left="1080"/>
        <w:jc w:val="both"/>
        <w:rPr>
          <w:sz w:val="24"/>
          <w:szCs w:val="24"/>
        </w:rPr>
      </w:pPr>
      <w:r w:rsidRPr="000D4A06">
        <w:rPr>
          <w:sz w:val="24"/>
          <w:szCs w:val="24"/>
        </w:rPr>
        <w:t>забезпечення в болтових з'єднаннях міцності окремих болтів на зріз в 1,1 рази вище їх міцності на зминання;</w:t>
      </w:r>
    </w:p>
    <w:p w:rsidR="00963A7F" w:rsidRPr="000D4A06" w:rsidRDefault="00963A7F" w:rsidP="00513D65">
      <w:pPr>
        <w:pStyle w:val="ListParagraph"/>
        <w:numPr>
          <w:ilvl w:val="0"/>
          <w:numId w:val="5"/>
        </w:numPr>
        <w:ind w:left="1080"/>
        <w:jc w:val="both"/>
        <w:rPr>
          <w:sz w:val="24"/>
          <w:szCs w:val="24"/>
        </w:rPr>
      </w:pPr>
      <w:r w:rsidRPr="000D4A06">
        <w:rPr>
          <w:sz w:val="24"/>
          <w:szCs w:val="24"/>
        </w:rPr>
        <w:t xml:space="preserve">забезпечення </w:t>
      </w:r>
      <w:r>
        <w:rPr>
          <w:sz w:val="24"/>
          <w:szCs w:val="24"/>
        </w:rPr>
        <w:t>у</w:t>
      </w:r>
      <w:r w:rsidRPr="000D4A06">
        <w:rPr>
          <w:sz w:val="24"/>
          <w:szCs w:val="24"/>
        </w:rPr>
        <w:t xml:space="preserve"> зварних з'єднаннях запобігання крихкому руйнуванню </w:t>
      </w:r>
      <w:r>
        <w:rPr>
          <w:sz w:val="24"/>
          <w:szCs w:val="24"/>
        </w:rPr>
        <w:t xml:space="preserve">у </w:t>
      </w:r>
      <w:r w:rsidRPr="000D4A06">
        <w:rPr>
          <w:sz w:val="24"/>
          <w:szCs w:val="24"/>
        </w:rPr>
        <w:t>граничному стані відповідно до СП 16.13330;</w:t>
      </w:r>
    </w:p>
    <w:p w:rsidR="00963A7F" w:rsidRDefault="00963A7F" w:rsidP="00513D65">
      <w:pPr>
        <w:pStyle w:val="ListParagraph"/>
        <w:numPr>
          <w:ilvl w:val="0"/>
          <w:numId w:val="5"/>
        </w:numPr>
        <w:ind w:left="1080"/>
        <w:jc w:val="both"/>
        <w:rPr>
          <w:sz w:val="24"/>
          <w:szCs w:val="24"/>
        </w:rPr>
      </w:pPr>
      <w:r w:rsidRPr="000D4A06">
        <w:rPr>
          <w:sz w:val="24"/>
          <w:szCs w:val="24"/>
        </w:rPr>
        <w:t>забезпечення достатності довжини анкерування арматури при її роботі як зв'язку зсуву;</w:t>
      </w:r>
    </w:p>
    <w:p w:rsidR="00963A7F" w:rsidRDefault="00963A7F" w:rsidP="00513D65">
      <w:pPr>
        <w:pStyle w:val="ListParagraph"/>
        <w:numPr>
          <w:ilvl w:val="0"/>
          <w:numId w:val="5"/>
        </w:numPr>
        <w:ind w:left="1080"/>
        <w:jc w:val="both"/>
        <w:rPr>
          <w:sz w:val="24"/>
          <w:szCs w:val="24"/>
        </w:rPr>
      </w:pPr>
      <w:r w:rsidRPr="000D4A06">
        <w:rPr>
          <w:sz w:val="24"/>
          <w:szCs w:val="24"/>
        </w:rPr>
        <w:t xml:space="preserve"> забезпечення в перетинах надпроемних перемичок, балок, ригелів, плит, в граничному стані руйнування по вигину, а не по зрізу.</w:t>
      </w:r>
    </w:p>
    <w:p w:rsidR="00963A7F" w:rsidRDefault="00963A7F" w:rsidP="00513D65">
      <w:pPr>
        <w:pStyle w:val="ListParagraph"/>
        <w:ind w:left="720"/>
        <w:jc w:val="both"/>
        <w:rPr>
          <w:sz w:val="24"/>
          <w:szCs w:val="24"/>
        </w:rPr>
      </w:pPr>
    </w:p>
    <w:p w:rsidR="00963A7F" w:rsidRDefault="00963A7F" w:rsidP="00DE7F5E">
      <w:pPr>
        <w:spacing w:after="0" w:line="240" w:lineRule="auto"/>
        <w:ind w:firstLine="567"/>
        <w:jc w:val="both"/>
        <w:rPr>
          <w:rFonts w:ascii="Times New Roman" w:hAnsi="Times New Roman"/>
          <w:sz w:val="24"/>
          <w:szCs w:val="24"/>
        </w:rPr>
      </w:pPr>
      <w:r w:rsidRPr="00513D65">
        <w:rPr>
          <w:rFonts w:ascii="Times New Roman" w:hAnsi="Times New Roman"/>
          <w:b/>
          <w:sz w:val="24"/>
          <w:szCs w:val="24"/>
        </w:rPr>
        <w:t>Висновки</w:t>
      </w:r>
      <w:r>
        <w:rPr>
          <w:rFonts w:ascii="Times New Roman" w:hAnsi="Times New Roman"/>
          <w:sz w:val="24"/>
          <w:szCs w:val="24"/>
        </w:rPr>
        <w:t xml:space="preserve">. </w:t>
      </w:r>
      <w:r w:rsidRPr="00DE7F5E">
        <w:rPr>
          <w:rFonts w:ascii="Times New Roman" w:hAnsi="Times New Roman"/>
          <w:sz w:val="24"/>
          <w:szCs w:val="24"/>
        </w:rPr>
        <w:t xml:space="preserve">Беручи до уваги все вищенаведене, </w:t>
      </w:r>
      <w:r>
        <w:rPr>
          <w:rFonts w:ascii="Times New Roman" w:hAnsi="Times New Roman"/>
          <w:sz w:val="24"/>
          <w:szCs w:val="24"/>
        </w:rPr>
        <w:t>не виникає сумнівів у необхідності впровадження до державних будівельних норм подібної збірки правил і в Україні. У зв’язку з введенням такого документу вперше і відсутністю практики у нормуванні прогресивного руйнування раніше, залишається необхідним доопрацювання даної теми також у прийнятих закордонних нормативних документах. Але при цьому, на сьогодення, для української будівельної галузі невід’ємною частиною етапу проектування будівель і споруд постає саме моделювання та аналіз можливого виникнення імовірної аварійної ситуації на об’єкті, а отже й створення нормативної методології його проведення</w:t>
      </w:r>
      <w:r w:rsidRPr="00A81D40">
        <w:rPr>
          <w:rFonts w:ascii="Times New Roman" w:hAnsi="Times New Roman"/>
          <w:sz w:val="24"/>
          <w:szCs w:val="24"/>
        </w:rPr>
        <w:t xml:space="preserve"> [3]</w:t>
      </w:r>
      <w:r>
        <w:rPr>
          <w:rFonts w:ascii="Times New Roman" w:hAnsi="Times New Roman"/>
          <w:sz w:val="24"/>
          <w:szCs w:val="24"/>
        </w:rPr>
        <w:t>.</w:t>
      </w:r>
    </w:p>
    <w:p w:rsidR="00963A7F" w:rsidRDefault="00963A7F" w:rsidP="00DE7F5E">
      <w:pPr>
        <w:spacing w:after="0" w:line="240" w:lineRule="auto"/>
        <w:ind w:firstLine="567"/>
        <w:jc w:val="both"/>
        <w:rPr>
          <w:rFonts w:ascii="Times New Roman" w:hAnsi="Times New Roman"/>
          <w:sz w:val="24"/>
          <w:szCs w:val="24"/>
        </w:rPr>
      </w:pPr>
    </w:p>
    <w:p w:rsidR="00963A7F" w:rsidRDefault="00963A7F" w:rsidP="006A1CEA">
      <w:pPr>
        <w:spacing w:after="0" w:line="240" w:lineRule="auto"/>
        <w:ind w:firstLine="567"/>
        <w:jc w:val="center"/>
        <w:rPr>
          <w:rFonts w:ascii="Times New Roman" w:hAnsi="Times New Roman"/>
          <w:b/>
          <w:i/>
          <w:sz w:val="24"/>
          <w:szCs w:val="24"/>
        </w:rPr>
      </w:pPr>
      <w:r w:rsidRPr="00A81D40">
        <w:rPr>
          <w:rFonts w:ascii="Times New Roman" w:hAnsi="Times New Roman"/>
          <w:b/>
          <w:i/>
          <w:sz w:val="24"/>
          <w:szCs w:val="24"/>
        </w:rPr>
        <w:t>Література</w:t>
      </w:r>
    </w:p>
    <w:p w:rsidR="00963A7F" w:rsidRDefault="00963A7F" w:rsidP="006A1CEA">
      <w:pPr>
        <w:pStyle w:val="ListParagraph"/>
        <w:numPr>
          <w:ilvl w:val="0"/>
          <w:numId w:val="8"/>
        </w:numPr>
        <w:ind w:left="426"/>
        <w:jc w:val="both"/>
        <w:rPr>
          <w:i/>
          <w:sz w:val="24"/>
          <w:szCs w:val="24"/>
        </w:rPr>
      </w:pPr>
      <w:hyperlink r:id="rId22" w:history="1">
        <w:r w:rsidRPr="00660F7F">
          <w:rPr>
            <w:i/>
            <w:sz w:val="24"/>
            <w:szCs w:val="24"/>
          </w:rPr>
          <w:t>СП 385.1325800.2018 Защита зданий и сооружений от прогрессирующего обрушения. Правила проектирования. Основные положения</w:t>
        </w:r>
      </w:hyperlink>
      <w:r>
        <w:rPr>
          <w:i/>
          <w:sz w:val="24"/>
          <w:szCs w:val="24"/>
        </w:rPr>
        <w:t>.</w:t>
      </w:r>
      <w:r w:rsidRPr="00A662B2">
        <w:rPr>
          <w:i/>
          <w:sz w:val="24"/>
          <w:szCs w:val="24"/>
        </w:rPr>
        <w:t xml:space="preserve"> [Текст]. –Москва : Минстрой России, 201</w:t>
      </w:r>
      <w:r>
        <w:rPr>
          <w:i/>
          <w:sz w:val="24"/>
          <w:szCs w:val="24"/>
          <w:lang w:val="ru-RU"/>
        </w:rPr>
        <w:t>8</w:t>
      </w:r>
      <w:r w:rsidRPr="00A662B2">
        <w:rPr>
          <w:i/>
          <w:sz w:val="24"/>
          <w:szCs w:val="24"/>
        </w:rPr>
        <w:t xml:space="preserve">. – </w:t>
      </w:r>
      <w:r>
        <w:rPr>
          <w:i/>
          <w:sz w:val="24"/>
          <w:szCs w:val="24"/>
          <w:lang w:val="ru-RU"/>
        </w:rPr>
        <w:t>30</w:t>
      </w:r>
      <w:r w:rsidRPr="00A662B2">
        <w:rPr>
          <w:i/>
          <w:sz w:val="24"/>
          <w:szCs w:val="24"/>
        </w:rPr>
        <w:t xml:space="preserve"> с</w:t>
      </w:r>
    </w:p>
    <w:p w:rsidR="00963A7F" w:rsidRPr="00A662B2" w:rsidRDefault="00963A7F" w:rsidP="006A1CEA">
      <w:pPr>
        <w:pStyle w:val="ListParagraph"/>
        <w:numPr>
          <w:ilvl w:val="0"/>
          <w:numId w:val="8"/>
        </w:numPr>
        <w:ind w:left="426"/>
        <w:jc w:val="both"/>
        <w:rPr>
          <w:i/>
          <w:sz w:val="24"/>
          <w:szCs w:val="24"/>
        </w:rPr>
      </w:pPr>
      <w:r w:rsidRPr="00A662B2">
        <w:rPr>
          <w:i/>
          <w:sz w:val="24"/>
          <w:szCs w:val="24"/>
        </w:rPr>
        <w:t>СП 296.1325800.2017 Свод правил. Здания и сооружения. Особые воздействия [Текст]. –</w:t>
      </w:r>
      <w:r>
        <w:rPr>
          <w:i/>
          <w:sz w:val="24"/>
          <w:szCs w:val="24"/>
          <w:lang w:val="ru-RU"/>
        </w:rPr>
        <w:t xml:space="preserve"> </w:t>
      </w:r>
      <w:r w:rsidRPr="00A662B2">
        <w:rPr>
          <w:i/>
          <w:sz w:val="24"/>
          <w:szCs w:val="24"/>
        </w:rPr>
        <w:t>Москва : Минстрой России, 2017. – 27 с</w:t>
      </w:r>
    </w:p>
    <w:p w:rsidR="00963A7F" w:rsidRPr="00A662B2" w:rsidRDefault="00963A7F" w:rsidP="006A1CEA">
      <w:pPr>
        <w:pStyle w:val="ListParagraph"/>
        <w:numPr>
          <w:ilvl w:val="0"/>
          <w:numId w:val="8"/>
        </w:numPr>
        <w:ind w:left="426"/>
        <w:jc w:val="both"/>
        <w:rPr>
          <w:i/>
          <w:sz w:val="24"/>
          <w:szCs w:val="24"/>
        </w:rPr>
      </w:pPr>
      <w:r w:rsidRPr="009054A4">
        <w:rPr>
          <w:i/>
          <w:sz w:val="24"/>
          <w:szCs w:val="24"/>
        </w:rPr>
        <w:t>СП 132.13330.2011 Обеспечение  антитеррористической защищенности зданий и сооружений.</w:t>
      </w:r>
      <w:r>
        <w:rPr>
          <w:i/>
          <w:sz w:val="24"/>
          <w:szCs w:val="24"/>
        </w:rPr>
        <w:t xml:space="preserve"> </w:t>
      </w:r>
      <w:r w:rsidRPr="009054A4">
        <w:rPr>
          <w:i/>
          <w:sz w:val="24"/>
          <w:szCs w:val="24"/>
        </w:rPr>
        <w:t>Общие требования проектирования</w:t>
      </w:r>
      <w:r>
        <w:rPr>
          <w:i/>
          <w:sz w:val="24"/>
          <w:szCs w:val="24"/>
        </w:rPr>
        <w:t>.</w:t>
      </w:r>
      <w:r w:rsidRPr="009367C6">
        <w:rPr>
          <w:i/>
          <w:sz w:val="24"/>
          <w:szCs w:val="24"/>
        </w:rPr>
        <w:t xml:space="preserve"> </w:t>
      </w:r>
      <w:r w:rsidRPr="00A662B2">
        <w:rPr>
          <w:i/>
          <w:sz w:val="24"/>
          <w:szCs w:val="24"/>
        </w:rPr>
        <w:t>[Текст]. –Москва : Минстрой России, 201</w:t>
      </w:r>
      <w:r>
        <w:rPr>
          <w:i/>
          <w:sz w:val="24"/>
          <w:szCs w:val="24"/>
          <w:lang w:val="ru-RU"/>
        </w:rPr>
        <w:t>1</w:t>
      </w:r>
      <w:r w:rsidRPr="00A662B2">
        <w:rPr>
          <w:i/>
          <w:sz w:val="24"/>
          <w:szCs w:val="24"/>
        </w:rPr>
        <w:t xml:space="preserve">. – </w:t>
      </w:r>
      <w:r>
        <w:rPr>
          <w:i/>
          <w:sz w:val="24"/>
          <w:szCs w:val="24"/>
          <w:lang w:val="ru-RU"/>
        </w:rPr>
        <w:t>18</w:t>
      </w:r>
      <w:r w:rsidRPr="00A662B2">
        <w:rPr>
          <w:i/>
          <w:sz w:val="24"/>
          <w:szCs w:val="24"/>
        </w:rPr>
        <w:t xml:space="preserve"> с</w:t>
      </w:r>
    </w:p>
    <w:p w:rsidR="00963A7F" w:rsidRPr="000A1C37" w:rsidRDefault="00963A7F"/>
    <w:sectPr w:rsidR="00963A7F" w:rsidRPr="000A1C37" w:rsidSect="00320E17">
      <w:pgSz w:w="11906" w:h="16838"/>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57F70"/>
    <w:multiLevelType w:val="hybridMultilevel"/>
    <w:tmpl w:val="8274343C"/>
    <w:lvl w:ilvl="0" w:tplc="0422000F">
      <w:start w:val="1"/>
      <w:numFmt w:val="decimal"/>
      <w:lvlText w:val="%1."/>
      <w:lvlJc w:val="left"/>
      <w:pPr>
        <w:ind w:left="1287" w:hanging="360"/>
      </w:pPr>
      <w:rPr>
        <w:rFonts w:cs="Times New Roman"/>
      </w:rPr>
    </w:lvl>
    <w:lvl w:ilvl="1" w:tplc="04220019" w:tentative="1">
      <w:start w:val="1"/>
      <w:numFmt w:val="lowerLetter"/>
      <w:lvlText w:val="%2."/>
      <w:lvlJc w:val="left"/>
      <w:pPr>
        <w:ind w:left="2007" w:hanging="360"/>
      </w:pPr>
      <w:rPr>
        <w:rFonts w:cs="Times New Roman"/>
      </w:rPr>
    </w:lvl>
    <w:lvl w:ilvl="2" w:tplc="0422001B" w:tentative="1">
      <w:start w:val="1"/>
      <w:numFmt w:val="lowerRoman"/>
      <w:lvlText w:val="%3."/>
      <w:lvlJc w:val="right"/>
      <w:pPr>
        <w:ind w:left="2727" w:hanging="180"/>
      </w:pPr>
      <w:rPr>
        <w:rFonts w:cs="Times New Roman"/>
      </w:rPr>
    </w:lvl>
    <w:lvl w:ilvl="3" w:tplc="0422000F" w:tentative="1">
      <w:start w:val="1"/>
      <w:numFmt w:val="decimal"/>
      <w:lvlText w:val="%4."/>
      <w:lvlJc w:val="left"/>
      <w:pPr>
        <w:ind w:left="3447" w:hanging="360"/>
      </w:pPr>
      <w:rPr>
        <w:rFonts w:cs="Times New Roman"/>
      </w:rPr>
    </w:lvl>
    <w:lvl w:ilvl="4" w:tplc="04220019" w:tentative="1">
      <w:start w:val="1"/>
      <w:numFmt w:val="lowerLetter"/>
      <w:lvlText w:val="%5."/>
      <w:lvlJc w:val="left"/>
      <w:pPr>
        <w:ind w:left="4167" w:hanging="360"/>
      </w:pPr>
      <w:rPr>
        <w:rFonts w:cs="Times New Roman"/>
      </w:rPr>
    </w:lvl>
    <w:lvl w:ilvl="5" w:tplc="0422001B" w:tentative="1">
      <w:start w:val="1"/>
      <w:numFmt w:val="lowerRoman"/>
      <w:lvlText w:val="%6."/>
      <w:lvlJc w:val="right"/>
      <w:pPr>
        <w:ind w:left="4887" w:hanging="180"/>
      </w:pPr>
      <w:rPr>
        <w:rFonts w:cs="Times New Roman"/>
      </w:rPr>
    </w:lvl>
    <w:lvl w:ilvl="6" w:tplc="0422000F" w:tentative="1">
      <w:start w:val="1"/>
      <w:numFmt w:val="decimal"/>
      <w:lvlText w:val="%7."/>
      <w:lvlJc w:val="left"/>
      <w:pPr>
        <w:ind w:left="5607" w:hanging="360"/>
      </w:pPr>
      <w:rPr>
        <w:rFonts w:cs="Times New Roman"/>
      </w:rPr>
    </w:lvl>
    <w:lvl w:ilvl="7" w:tplc="04220019" w:tentative="1">
      <w:start w:val="1"/>
      <w:numFmt w:val="lowerLetter"/>
      <w:lvlText w:val="%8."/>
      <w:lvlJc w:val="left"/>
      <w:pPr>
        <w:ind w:left="6327" w:hanging="360"/>
      </w:pPr>
      <w:rPr>
        <w:rFonts w:cs="Times New Roman"/>
      </w:rPr>
    </w:lvl>
    <w:lvl w:ilvl="8" w:tplc="0422001B" w:tentative="1">
      <w:start w:val="1"/>
      <w:numFmt w:val="lowerRoman"/>
      <w:lvlText w:val="%9."/>
      <w:lvlJc w:val="right"/>
      <w:pPr>
        <w:ind w:left="7047" w:hanging="180"/>
      </w:pPr>
      <w:rPr>
        <w:rFonts w:cs="Times New Roman"/>
      </w:rPr>
    </w:lvl>
  </w:abstractNum>
  <w:abstractNum w:abstractNumId="1">
    <w:nsid w:val="2B0A51C8"/>
    <w:multiLevelType w:val="hybridMultilevel"/>
    <w:tmpl w:val="360CF7D0"/>
    <w:lvl w:ilvl="0" w:tplc="5484AB3A">
      <w:start w:val="1"/>
      <w:numFmt w:val="bullet"/>
      <w:lvlText w:val=""/>
      <w:lvlJc w:val="left"/>
      <w:pPr>
        <w:ind w:left="720" w:hanging="360"/>
      </w:pPr>
      <w:rPr>
        <w:rFonts w:ascii="Symbol" w:hAnsi="Symbol" w:hint="default"/>
        <w:b/>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07C2693"/>
    <w:multiLevelType w:val="hybridMultilevel"/>
    <w:tmpl w:val="043CB830"/>
    <w:lvl w:ilvl="0" w:tplc="53E61986">
      <w:numFmt w:val="bullet"/>
      <w:lvlText w:val="-"/>
      <w:lvlJc w:val="left"/>
      <w:pPr>
        <w:ind w:left="1287" w:hanging="360"/>
      </w:pPr>
      <w:rPr>
        <w:rFonts w:ascii="Times New Roman" w:eastAsia="Times New Roman" w:hAnsi="Times New Roman"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nsid w:val="4CE41481"/>
    <w:multiLevelType w:val="hybridMultilevel"/>
    <w:tmpl w:val="BB80935E"/>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
    <w:nsid w:val="55FC7A7F"/>
    <w:multiLevelType w:val="hybridMultilevel"/>
    <w:tmpl w:val="C256D34C"/>
    <w:lvl w:ilvl="0" w:tplc="148E0E4C">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5">
    <w:nsid w:val="5B3E2D7B"/>
    <w:multiLevelType w:val="hybridMultilevel"/>
    <w:tmpl w:val="ADD8DD6A"/>
    <w:lvl w:ilvl="0" w:tplc="53E61986">
      <w:numFmt w:val="bullet"/>
      <w:lvlText w:val="-"/>
      <w:lvlJc w:val="left"/>
      <w:pPr>
        <w:ind w:left="927" w:hanging="360"/>
      </w:pPr>
      <w:rPr>
        <w:rFonts w:ascii="Times New Roman" w:eastAsia="Times New Roman" w:hAnsi="Times New Roman" w:hint="default"/>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6">
    <w:nsid w:val="63951201"/>
    <w:multiLevelType w:val="hybridMultilevel"/>
    <w:tmpl w:val="6EB8FADE"/>
    <w:lvl w:ilvl="0" w:tplc="6FAA5CBE">
      <w:start w:val="1"/>
      <w:numFmt w:val="decimal"/>
      <w:lvlText w:val="%1."/>
      <w:lvlJc w:val="left"/>
      <w:pPr>
        <w:ind w:left="2912" w:hanging="360"/>
      </w:pPr>
      <w:rPr>
        <w:rFonts w:cs="Times New Roman" w:hint="default"/>
      </w:rPr>
    </w:lvl>
    <w:lvl w:ilvl="1" w:tplc="04220019" w:tentative="1">
      <w:start w:val="1"/>
      <w:numFmt w:val="lowerLetter"/>
      <w:lvlText w:val="%2."/>
      <w:lvlJc w:val="left"/>
      <w:pPr>
        <w:ind w:left="3632" w:hanging="360"/>
      </w:pPr>
      <w:rPr>
        <w:rFonts w:cs="Times New Roman"/>
      </w:rPr>
    </w:lvl>
    <w:lvl w:ilvl="2" w:tplc="0422001B" w:tentative="1">
      <w:start w:val="1"/>
      <w:numFmt w:val="lowerRoman"/>
      <w:lvlText w:val="%3."/>
      <w:lvlJc w:val="right"/>
      <w:pPr>
        <w:ind w:left="4352" w:hanging="180"/>
      </w:pPr>
      <w:rPr>
        <w:rFonts w:cs="Times New Roman"/>
      </w:rPr>
    </w:lvl>
    <w:lvl w:ilvl="3" w:tplc="0422000F" w:tentative="1">
      <w:start w:val="1"/>
      <w:numFmt w:val="decimal"/>
      <w:lvlText w:val="%4."/>
      <w:lvlJc w:val="left"/>
      <w:pPr>
        <w:ind w:left="5072" w:hanging="360"/>
      </w:pPr>
      <w:rPr>
        <w:rFonts w:cs="Times New Roman"/>
      </w:rPr>
    </w:lvl>
    <w:lvl w:ilvl="4" w:tplc="04220019" w:tentative="1">
      <w:start w:val="1"/>
      <w:numFmt w:val="lowerLetter"/>
      <w:lvlText w:val="%5."/>
      <w:lvlJc w:val="left"/>
      <w:pPr>
        <w:ind w:left="5792" w:hanging="360"/>
      </w:pPr>
      <w:rPr>
        <w:rFonts w:cs="Times New Roman"/>
      </w:rPr>
    </w:lvl>
    <w:lvl w:ilvl="5" w:tplc="0422001B" w:tentative="1">
      <w:start w:val="1"/>
      <w:numFmt w:val="lowerRoman"/>
      <w:lvlText w:val="%6."/>
      <w:lvlJc w:val="right"/>
      <w:pPr>
        <w:ind w:left="6512" w:hanging="180"/>
      </w:pPr>
      <w:rPr>
        <w:rFonts w:cs="Times New Roman"/>
      </w:rPr>
    </w:lvl>
    <w:lvl w:ilvl="6" w:tplc="0422000F" w:tentative="1">
      <w:start w:val="1"/>
      <w:numFmt w:val="decimal"/>
      <w:lvlText w:val="%7."/>
      <w:lvlJc w:val="left"/>
      <w:pPr>
        <w:ind w:left="7232" w:hanging="360"/>
      </w:pPr>
      <w:rPr>
        <w:rFonts w:cs="Times New Roman"/>
      </w:rPr>
    </w:lvl>
    <w:lvl w:ilvl="7" w:tplc="04220019" w:tentative="1">
      <w:start w:val="1"/>
      <w:numFmt w:val="lowerLetter"/>
      <w:lvlText w:val="%8."/>
      <w:lvlJc w:val="left"/>
      <w:pPr>
        <w:ind w:left="7952" w:hanging="360"/>
      </w:pPr>
      <w:rPr>
        <w:rFonts w:cs="Times New Roman"/>
      </w:rPr>
    </w:lvl>
    <w:lvl w:ilvl="8" w:tplc="0422001B" w:tentative="1">
      <w:start w:val="1"/>
      <w:numFmt w:val="lowerRoman"/>
      <w:lvlText w:val="%9."/>
      <w:lvlJc w:val="right"/>
      <w:pPr>
        <w:ind w:left="8672" w:hanging="180"/>
      </w:pPr>
      <w:rPr>
        <w:rFonts w:cs="Times New Roman"/>
      </w:rPr>
    </w:lvl>
  </w:abstractNum>
  <w:abstractNum w:abstractNumId="7">
    <w:nsid w:val="65497395"/>
    <w:multiLevelType w:val="hybridMultilevel"/>
    <w:tmpl w:val="895AC378"/>
    <w:lvl w:ilvl="0" w:tplc="2BB2BDE4">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num w:numId="1">
    <w:abstractNumId w:val="7"/>
  </w:num>
  <w:num w:numId="2">
    <w:abstractNumId w:val="1"/>
  </w:num>
  <w:num w:numId="3">
    <w:abstractNumId w:val="5"/>
  </w:num>
  <w:num w:numId="4">
    <w:abstractNumId w:val="3"/>
  </w:num>
  <w:num w:numId="5">
    <w:abstractNumId w:val="2"/>
  </w:num>
  <w:num w:numId="6">
    <w:abstractNumId w:val="6"/>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E1D6E"/>
    <w:rsid w:val="00001ECF"/>
    <w:rsid w:val="00045C45"/>
    <w:rsid w:val="0007414A"/>
    <w:rsid w:val="000A1C37"/>
    <w:rsid w:val="000B22D9"/>
    <w:rsid w:val="000D4A06"/>
    <w:rsid w:val="000E48FE"/>
    <w:rsid w:val="000E4CAF"/>
    <w:rsid w:val="00143E4A"/>
    <w:rsid w:val="00175E9F"/>
    <w:rsid w:val="00285D6B"/>
    <w:rsid w:val="002F3507"/>
    <w:rsid w:val="00311AC1"/>
    <w:rsid w:val="00320E17"/>
    <w:rsid w:val="003543FF"/>
    <w:rsid w:val="00472ADF"/>
    <w:rsid w:val="004C7CDF"/>
    <w:rsid w:val="004D2AD3"/>
    <w:rsid w:val="005007B8"/>
    <w:rsid w:val="00500D24"/>
    <w:rsid w:val="00500EA3"/>
    <w:rsid w:val="00513D65"/>
    <w:rsid w:val="005860E2"/>
    <w:rsid w:val="00660F7F"/>
    <w:rsid w:val="006A1CEA"/>
    <w:rsid w:val="006C276D"/>
    <w:rsid w:val="006E790B"/>
    <w:rsid w:val="007A7F08"/>
    <w:rsid w:val="007D5B8F"/>
    <w:rsid w:val="00864764"/>
    <w:rsid w:val="008A6527"/>
    <w:rsid w:val="008F161E"/>
    <w:rsid w:val="009054A4"/>
    <w:rsid w:val="009367C6"/>
    <w:rsid w:val="00963A7F"/>
    <w:rsid w:val="00A400AC"/>
    <w:rsid w:val="00A45B63"/>
    <w:rsid w:val="00A662B2"/>
    <w:rsid w:val="00A81D40"/>
    <w:rsid w:val="00A9337D"/>
    <w:rsid w:val="00AB1672"/>
    <w:rsid w:val="00BA2337"/>
    <w:rsid w:val="00C327A7"/>
    <w:rsid w:val="00C36E98"/>
    <w:rsid w:val="00C939B7"/>
    <w:rsid w:val="00CB66F7"/>
    <w:rsid w:val="00CE1D6E"/>
    <w:rsid w:val="00DE7F5E"/>
    <w:rsid w:val="00E46E2F"/>
    <w:rsid w:val="00EA1407"/>
    <w:rsid w:val="00F70D0B"/>
    <w:rsid w:val="00FC555D"/>
    <w:rsid w:val="00FC74A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E2F"/>
    <w:pPr>
      <w:spacing w:after="200" w:line="276" w:lineRule="auto"/>
    </w:pPr>
    <w:rPr>
      <w:lang w:val="uk-UA" w:eastAsia="uk-UA"/>
    </w:rPr>
  </w:style>
  <w:style w:type="paragraph" w:styleId="Heading1">
    <w:name w:val="heading 1"/>
    <w:basedOn w:val="Normal"/>
    <w:next w:val="Normal"/>
    <w:link w:val="Heading1Char"/>
    <w:uiPriority w:val="99"/>
    <w:qFormat/>
    <w:rsid w:val="00FC555D"/>
    <w:pPr>
      <w:keepNext/>
      <w:spacing w:before="240" w:after="0" w:line="360" w:lineRule="auto"/>
      <w:ind w:firstLine="720"/>
      <w:jc w:val="both"/>
      <w:outlineLvl w:val="0"/>
    </w:pPr>
    <w:rPr>
      <w:rFonts w:ascii="Times New Roman" w:hAnsi="Times New Roman"/>
      <w:sz w:val="26"/>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C555D"/>
    <w:rPr>
      <w:rFonts w:ascii="Times New Roman" w:hAnsi="Times New Roman" w:cs="Times New Roman"/>
      <w:sz w:val="20"/>
      <w:szCs w:val="20"/>
    </w:rPr>
  </w:style>
  <w:style w:type="paragraph" w:styleId="NormalWeb">
    <w:name w:val="Normal (Web)"/>
    <w:basedOn w:val="Normal"/>
    <w:uiPriority w:val="99"/>
    <w:rsid w:val="00CE1D6E"/>
    <w:pPr>
      <w:spacing w:before="100" w:beforeAutospacing="1" w:after="100" w:afterAutospacing="1" w:line="240" w:lineRule="auto"/>
    </w:pPr>
    <w:rPr>
      <w:rFonts w:ascii="Times New Roman" w:hAnsi="Times New Roman"/>
      <w:sz w:val="24"/>
      <w:szCs w:val="24"/>
    </w:rPr>
  </w:style>
  <w:style w:type="paragraph" w:styleId="BodyTextIndent3">
    <w:name w:val="Body Text Indent 3"/>
    <w:basedOn w:val="Normal"/>
    <w:link w:val="BodyTextIndent3Char"/>
    <w:uiPriority w:val="99"/>
    <w:rsid w:val="000A1C37"/>
    <w:pPr>
      <w:spacing w:after="0" w:line="240" w:lineRule="auto"/>
      <w:ind w:firstLine="720"/>
      <w:jc w:val="both"/>
    </w:pPr>
    <w:rPr>
      <w:rFonts w:ascii="Times New Roman" w:hAnsi="Times New Roman"/>
      <w:sz w:val="28"/>
      <w:szCs w:val="20"/>
    </w:rPr>
  </w:style>
  <w:style w:type="character" w:customStyle="1" w:styleId="BodyTextIndent3Char">
    <w:name w:val="Body Text Indent 3 Char"/>
    <w:basedOn w:val="DefaultParagraphFont"/>
    <w:link w:val="BodyTextIndent3"/>
    <w:uiPriority w:val="99"/>
    <w:locked/>
    <w:rsid w:val="000A1C37"/>
    <w:rPr>
      <w:rFonts w:ascii="Times New Roman" w:hAnsi="Times New Roman" w:cs="Times New Roman"/>
      <w:sz w:val="20"/>
      <w:szCs w:val="20"/>
    </w:rPr>
  </w:style>
  <w:style w:type="paragraph" w:customStyle="1" w:styleId="ConsPlusNormal">
    <w:name w:val="ConsPlusNormal"/>
    <w:uiPriority w:val="99"/>
    <w:rsid w:val="000A1C37"/>
    <w:pPr>
      <w:widowControl w:val="0"/>
      <w:autoSpaceDE w:val="0"/>
      <w:autoSpaceDN w:val="0"/>
      <w:adjustRightInd w:val="0"/>
      <w:ind w:firstLine="720"/>
    </w:pPr>
    <w:rPr>
      <w:rFonts w:ascii="Arial" w:hAnsi="Arial" w:cs="Arial"/>
      <w:sz w:val="20"/>
      <w:szCs w:val="20"/>
      <w:lang w:val="uk-UA" w:eastAsia="uk-UA"/>
    </w:rPr>
  </w:style>
  <w:style w:type="paragraph" w:customStyle="1" w:styleId="ConsPlusTitle">
    <w:name w:val="ConsPlusTitle"/>
    <w:uiPriority w:val="99"/>
    <w:rsid w:val="000A1C37"/>
    <w:pPr>
      <w:widowControl w:val="0"/>
      <w:autoSpaceDE w:val="0"/>
      <w:autoSpaceDN w:val="0"/>
      <w:adjustRightInd w:val="0"/>
    </w:pPr>
    <w:rPr>
      <w:rFonts w:ascii="Arial" w:hAnsi="Arial" w:cs="Arial"/>
      <w:b/>
      <w:bCs/>
      <w:sz w:val="20"/>
      <w:szCs w:val="20"/>
      <w:lang w:val="uk-UA" w:eastAsia="uk-UA"/>
    </w:rPr>
  </w:style>
  <w:style w:type="paragraph" w:styleId="Title">
    <w:name w:val="Title"/>
    <w:basedOn w:val="Normal"/>
    <w:link w:val="TitleChar"/>
    <w:uiPriority w:val="99"/>
    <w:qFormat/>
    <w:rsid w:val="000A1C37"/>
    <w:pPr>
      <w:spacing w:after="0" w:line="240" w:lineRule="auto"/>
      <w:jc w:val="center"/>
    </w:pPr>
    <w:rPr>
      <w:rFonts w:ascii="Times New Roman" w:hAnsi="Times New Roman"/>
      <w:b/>
      <w:bCs/>
      <w:sz w:val="36"/>
      <w:szCs w:val="24"/>
    </w:rPr>
  </w:style>
  <w:style w:type="character" w:customStyle="1" w:styleId="TitleChar">
    <w:name w:val="Title Char"/>
    <w:basedOn w:val="DefaultParagraphFont"/>
    <w:link w:val="Title"/>
    <w:uiPriority w:val="99"/>
    <w:locked/>
    <w:rsid w:val="000A1C37"/>
    <w:rPr>
      <w:rFonts w:ascii="Times New Roman" w:hAnsi="Times New Roman" w:cs="Times New Roman"/>
      <w:b/>
      <w:bCs/>
      <w:sz w:val="24"/>
      <w:szCs w:val="24"/>
    </w:rPr>
  </w:style>
  <w:style w:type="paragraph" w:styleId="BalloonText">
    <w:name w:val="Balloon Text"/>
    <w:basedOn w:val="Normal"/>
    <w:link w:val="BalloonTextChar"/>
    <w:uiPriority w:val="99"/>
    <w:semiHidden/>
    <w:rsid w:val="003543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543FF"/>
    <w:rPr>
      <w:rFonts w:ascii="Tahoma" w:hAnsi="Tahoma" w:cs="Tahoma"/>
      <w:sz w:val="16"/>
      <w:szCs w:val="16"/>
    </w:rPr>
  </w:style>
  <w:style w:type="paragraph" w:customStyle="1" w:styleId="Default">
    <w:name w:val="Default"/>
    <w:uiPriority w:val="99"/>
    <w:rsid w:val="00FC555D"/>
    <w:pPr>
      <w:autoSpaceDE w:val="0"/>
      <w:autoSpaceDN w:val="0"/>
      <w:adjustRightInd w:val="0"/>
    </w:pPr>
    <w:rPr>
      <w:rFonts w:ascii="Times New Roman" w:hAnsi="Times New Roman"/>
      <w:color w:val="000000"/>
      <w:sz w:val="24"/>
      <w:szCs w:val="24"/>
      <w:lang w:val="uk-UA" w:eastAsia="uk-UA"/>
    </w:rPr>
  </w:style>
  <w:style w:type="paragraph" w:styleId="ListParagraph">
    <w:name w:val="List Paragraph"/>
    <w:basedOn w:val="Normal"/>
    <w:uiPriority w:val="99"/>
    <w:qFormat/>
    <w:rsid w:val="00FC555D"/>
    <w:pPr>
      <w:widowControl w:val="0"/>
      <w:spacing w:after="0" w:line="240" w:lineRule="auto"/>
      <w:ind w:left="708"/>
    </w:pPr>
    <w:rPr>
      <w:rFonts w:ascii="Times New Roman" w:hAnsi="Times New Roman"/>
      <w:sz w:val="20"/>
      <w:szCs w:val="20"/>
    </w:rPr>
  </w:style>
  <w:style w:type="paragraph" w:styleId="NoSpacing">
    <w:name w:val="No Spacing"/>
    <w:uiPriority w:val="99"/>
    <w:qFormat/>
    <w:rsid w:val="00320E17"/>
    <w:rPr>
      <w:lang w:val="uk-UA" w:eastAsia="uk-UA"/>
    </w:rPr>
  </w:style>
  <w:style w:type="table" w:styleId="TableGrid">
    <w:name w:val="Table Grid"/>
    <w:basedOn w:val="TableNormal"/>
    <w:uiPriority w:val="99"/>
    <w:rsid w:val="00045C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045C45"/>
    <w:rPr>
      <w:rFonts w:cs="Times New Roman"/>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4.bin"/><Relationship Id="rId18" Type="http://schemas.openxmlformats.org/officeDocument/2006/relationships/image" Target="media/image8.wmf"/><Relationship Id="rId3" Type="http://schemas.openxmlformats.org/officeDocument/2006/relationships/settings" Target="settings.xml"/><Relationship Id="rId21" Type="http://schemas.openxmlformats.org/officeDocument/2006/relationships/oleObject" Target="embeddings/oleObject8.bin"/><Relationship Id="rId7" Type="http://schemas.openxmlformats.org/officeDocument/2006/relationships/oleObject" Target="embeddings/oleObject1.bin"/><Relationship Id="rId12" Type="http://schemas.openxmlformats.org/officeDocument/2006/relationships/image" Target="media/image5.wmf"/><Relationship Id="rId17" Type="http://schemas.openxmlformats.org/officeDocument/2006/relationships/oleObject" Target="embeddings/oleObject6.bin"/><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oleObject" Target="embeddings/oleObject3.bin"/><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oleObject" Target="embeddings/oleObject5.bin"/><Relationship Id="rId23" Type="http://schemas.openxmlformats.org/officeDocument/2006/relationships/fontTable" Target="fontTable.xml"/><Relationship Id="rId10" Type="http://schemas.openxmlformats.org/officeDocument/2006/relationships/image" Target="media/image4.wmf"/><Relationship Id="rId19" Type="http://schemas.openxmlformats.org/officeDocument/2006/relationships/oleObject" Target="embeddings/oleObject7.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wmf"/><Relationship Id="rId22" Type="http://schemas.openxmlformats.org/officeDocument/2006/relationships/hyperlink" Target="http://www.minstroyrf.ru/docs/174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173</TotalTime>
  <Pages>5</Pages>
  <Words>2047</Words>
  <Characters>11668</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dc:creator>
  <cp:keywords/>
  <dc:description/>
  <cp:lastModifiedBy>Professor</cp:lastModifiedBy>
  <cp:revision>25</cp:revision>
  <dcterms:created xsi:type="dcterms:W3CDTF">2018-12-07T19:02:00Z</dcterms:created>
  <dcterms:modified xsi:type="dcterms:W3CDTF">2018-12-14T06:26:00Z</dcterms:modified>
</cp:coreProperties>
</file>