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0" w:rsidRPr="00213990" w:rsidRDefault="00213990" w:rsidP="0021399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Рибалко Л.М.</w:t>
      </w:r>
      <w:r w:rsidRPr="0021399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фахових </w:t>
      </w:r>
      <w:proofErr w:type="spellStart"/>
      <w:r w:rsidRPr="0021399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13990"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Л.М. Рибалко, Т.Ю.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213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990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21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9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1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90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21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90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2139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3990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213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990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213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990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2139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 </w:t>
      </w:r>
      <w:r w:rsidRPr="00213990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V Всеукраїнської викладацько-студентської </w:t>
      </w:r>
      <w:proofErr w:type="spellStart"/>
      <w:r w:rsidRPr="00213990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213990">
        <w:rPr>
          <w:rFonts w:ascii="Times New Roman" w:hAnsi="Times New Roman" w:cs="Times New Roman"/>
          <w:sz w:val="28"/>
          <w:szCs w:val="28"/>
          <w:lang w:val="uk-UA"/>
        </w:rPr>
        <w:t xml:space="preserve">. конференції, м. Кременчук, 13 березня 2020 р. – Кременчук: Кременчуцький педагогічний коледж імені А.С. Макаренка, 2020. – С. 37-42. </w:t>
      </w:r>
      <w:bookmarkStart w:id="0" w:name="_GoBack"/>
      <w:bookmarkEnd w:id="0"/>
    </w:p>
    <w:p w:rsidR="00DC7B68" w:rsidRDefault="00DC7B68" w:rsidP="00DC7B68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Рибалко Л. М.,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доктор педагогічних наук, 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старший науковий співробітник,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завідувач кафедри фізичної культури та спорту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Національний університет 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«Полтавська політехніка 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Імені Юрія Кондратюка»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м. Полтава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Гулько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Т.Ю.,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викладач відділення юридичних дисциплін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Коледж управління, економіки і права ПДАА </w:t>
      </w:r>
    </w:p>
    <w:p w:rsid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м. Полтава</w:t>
      </w:r>
    </w:p>
    <w:p w:rsidR="00DC7B68" w:rsidRPr="00DC7B68" w:rsidRDefault="00DC7B68" w:rsidP="00DC7B68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DC7B68" w:rsidRPr="00DC7B68" w:rsidRDefault="00DC7B68" w:rsidP="006A730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7B68">
        <w:rPr>
          <w:rFonts w:ascii="Times New Roman" w:hAnsi="Times New Roman"/>
          <w:b/>
          <w:sz w:val="28"/>
          <w:szCs w:val="28"/>
          <w:lang w:val="uk-UA"/>
        </w:rPr>
        <w:t xml:space="preserve">ФОРМУВАННЯ ФАХОВИХ КОМПЕТЕНТНОСТЕЙ </w:t>
      </w:r>
    </w:p>
    <w:p w:rsidR="00DC7B68" w:rsidRPr="00DC7B68" w:rsidRDefault="00DC7B68" w:rsidP="006A730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7B68">
        <w:rPr>
          <w:rFonts w:ascii="Times New Roman" w:hAnsi="Times New Roman"/>
          <w:b/>
          <w:sz w:val="28"/>
          <w:szCs w:val="28"/>
          <w:lang w:val="uk-UA"/>
        </w:rPr>
        <w:t>У ЗДОБУВАЧІВ ВИЩОЇ ОСВІТИ</w:t>
      </w:r>
    </w:p>
    <w:p w:rsidR="00DC7B68" w:rsidRDefault="00DC7B68" w:rsidP="006A730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3990" w:rsidRDefault="00213990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Аннотація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. У статті розкрито особливості формування фахових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компететностей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у здобувачів вищої освіти. Акцентовано увагу на формуванні фахових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здобувачів спеціальності 017 «Фізична культура і спорт». Подано результати навчання бакалаврів і магістрів цієї спеціальності.</w:t>
      </w:r>
    </w:p>
    <w:p w:rsidR="00213990" w:rsidRDefault="00213990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Ключові слова: фахові компетентності, вища освіта фізична культура, спорт.</w:t>
      </w:r>
    </w:p>
    <w:p w:rsidR="00213990" w:rsidRPr="00213990" w:rsidRDefault="00213990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:rsidR="006568F3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Нинішній стан суспільно-економічного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країни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скеровує сучасну освіту на формування і розвиток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суб’єктів освітнього процесу. Адже, суспільство потребує компетентних фахівців у відповідних сферах діяльності, конкурентоспроможних на ринку праці. Необхідність постає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реалізації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освітн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ці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підходу, що означає спрямованість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освітнього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процесу на досягнення результатів навчання, якими є ієрархічно підпорядковані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загальні та фахові (професійні)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компетентності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здобувачів вищої освіти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передбачають опис очікуваних результатів навчання у показниках (індикаторах)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критеріїв оцінювання досягнутих результатів як складників сформованої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16F9B">
        <w:rPr>
          <w:rFonts w:ascii="Times New Roman" w:hAnsi="Times New Roman" w:cs="Times New Roman"/>
          <w:sz w:val="28"/>
          <w:szCs w:val="28"/>
          <w:lang w:val="uk-UA" w:eastAsia="ru-RU"/>
        </w:rPr>
        <w:t>Саме тому актуальною залишається п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роблема реалізації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 в освіті. </w:t>
      </w:r>
    </w:p>
    <w:p w:rsidR="006568F3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методологічному рівні 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теоретичні основи </w:t>
      </w:r>
      <w:proofErr w:type="spellStart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 в освіті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розробляли Н.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Бібік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О. Локшина, О.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Овчарук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Пометун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Л. Рибалко, С.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Трубачева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О. Топу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зов та ін. Теорію і практику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 у навчанні 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>дисциплін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освітньої галузі «Суспільствознавство» досліджували Т.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Смагіна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І.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Смагін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Г.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Фрейман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 навчанні правознавства – С.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Нетьосов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>Пишко</w:t>
      </w:r>
      <w:proofErr w:type="spellEnd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Т. </w:t>
      </w:r>
      <w:proofErr w:type="spellStart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>Ремех</w:t>
      </w:r>
      <w:proofErr w:type="spellEnd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О. </w:t>
      </w:r>
      <w:proofErr w:type="spellStart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>Святокум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Упровадження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 в професійній підготовці майбутніх фахівців з фізичної культури і спорту 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>досліджували Л.М. Рибалко, Б.М. Шиян, С.В. Гаркуша, Б.П. Лісовський та ін.</w:t>
      </w:r>
    </w:p>
    <w:p w:rsidR="00713D54" w:rsidRPr="00713D54" w:rsidRDefault="006568F3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Компететнісний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підхід в освіті 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обумовлює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студентоцентричний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напрям в навчанні, який є прямо протилежним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предметоцентричному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вузько дисциплінарному, 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основу якого покладені чітко визначені результати навчання та відповідні компетентності [1; 2; 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Навчання на засадах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 орієнтоване на студента (орієнтація на вихід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результат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в основі якого є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компетентнісна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модель фахівця (профіль), створена за найактивнішої участі, поряд із викладачами, роботодавців, випускників, професійних організацій тощо. </w:t>
      </w:r>
    </w:p>
    <w:p w:rsidR="006568F3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Концепція 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формування фахових </w:t>
      </w:r>
      <w:proofErr w:type="spellStart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>компететностей</w:t>
      </w:r>
      <w:proofErr w:type="spellEnd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суб’єктів освітнього процесу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утвердилася в навчальних закладах США з другої половини ХХ століття. Сучасного розмаху 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ця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концепція досягла після 2000 р. у зв’язку з розвитком Болонського процесу. Важливим внеском в її імплементацію стали матеріали міжнародного проекту «Гармонізація освітніх структур в Європі»,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Тюнінг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Tuning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educational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structures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Europe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TUNING), який ініційований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європейськими університетами (координатором проекту є Університет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Деусто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, Іспанія) за активної підтримки Європейської Комісії з метою поєднання політичних цілей Болонського процесу та Лісабонської стратегії реформування європейського освітнього простору [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]. 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Основними стратегічними напрямами </w:t>
      </w:r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розвитку вітчизняної освіти в аспекті формування фахових </w:t>
      </w:r>
      <w:proofErr w:type="spellStart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6568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здобувачів вищої освіти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[2]: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Визначення переліку основних загальних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, які характеризують універсальні навички та вміння студентів, формою представлення яких є здатності.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Розроблення переліків основних фахових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межах виділених предметних галузей.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3. Визнання ролі Європейської кредитно-трансферної системи та перетворення її у Європейську кредитну трансферно-накопичувальну систему.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4. Упровадження інноваційних підходів до навчання, викладання та оцінювання.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5. Забезпечення якості освіти в освітньому процесі.</w:t>
      </w:r>
      <w:r w:rsidRPr="00713D54">
        <w:rPr>
          <w:rFonts w:ascii="Times New Roman" w:hAnsi="Times New Roman" w:cs="Times New Roman"/>
          <w:lang w:val="uk-UA"/>
        </w:rPr>
        <w:t xml:space="preserve"> 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Основними категоріями навчання на засадах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підходу є компетентності та результати навчання, які на сьогодні є ключовими у Європейському просторі вищої освіти. 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Компетентності розглядаються як динамічне поєднання знань, навичок, умінь і здатностей [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с. 27]. Формування в свідомості студентів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метою освітньо-професійних програм. 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Компетентності формуються з різних навчальних дисциплінах і оцінюються на різних етапах.</w:t>
      </w:r>
      <w:r w:rsidRPr="00713D54">
        <w:rPr>
          <w:rFonts w:ascii="Times New Roman" w:hAnsi="Times New Roman" w:cs="Times New Roman"/>
          <w:lang w:val="uk-UA"/>
        </w:rPr>
        <w:t xml:space="preserve">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Їх особливістю є те, що вони набуваються поступово, формуються цілою низкою навчальних дисциплін або модулів на різних етапах даної програми, і навіть можуть починати формуватися в рамках програми одного рівня вищої освіти, а закінчувати формування на іншому, вищому рівні [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, с. 56].</w:t>
      </w:r>
      <w:r w:rsidRPr="00713D54">
        <w:rPr>
          <w:rFonts w:ascii="Times New Roman" w:hAnsi="Times New Roman" w:cs="Times New Roman"/>
          <w:lang w:val="uk-UA"/>
        </w:rPr>
        <w:t xml:space="preserve"> 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результатами навчання розуміється інтегральний показник того, що повинен знати та розуміти студент, бути здатним продемонструвати вміння та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навички після завершення навчання. Результати навчання можна відносити до окремого модуля або також до періоду навчання (освітньої програми першого, другого чи третього циклів). Адже вони визначають вимоги до присудження кредитів [1, с. 59].</w:t>
      </w:r>
      <w:r w:rsidRPr="00713D54">
        <w:rPr>
          <w:rFonts w:ascii="Times New Roman" w:hAnsi="Times New Roman" w:cs="Times New Roman"/>
          <w:lang w:val="uk-UA"/>
        </w:rPr>
        <w:t xml:space="preserve"> 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lang w:val="uk-UA" w:eastAsia="en-GB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Отже, в основу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студентоцентричного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навчання покладено ідею максимального забезпечення студентам шансів отримати перше місце роботи на ринку праці, підвищення їхньої «вартості» у роботодавців (придатності до працевлаштування), задоволення тим самим актуальних потреб останніх. Саме тому не може бути жодного протиставлення результатів навчання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компетентностям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адже між ними є глибока діалектична єдність: інтеграція результатів навчання в їх динамічному поєднанні приводить до набуття особами, які навчаються, відповідних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; тоді як оволодіння певною компетентністю вимагає засвоєння конкретних знань, умінь, навичок, тобто результатів навчання.</w:t>
      </w:r>
      <w:r w:rsidRPr="00713D54">
        <w:rPr>
          <w:rFonts w:ascii="Times New Roman" w:hAnsi="Times New Roman" w:cs="Times New Roman"/>
          <w:lang w:val="uk-UA"/>
        </w:rPr>
        <w:t xml:space="preserve"> 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Загальноприйнятим є поділ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дві групи: предметно-спеціальні (фахові) компетентності (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subject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specific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competences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) та загальні компетентності (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generic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competences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transferable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skills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Згідно з міжнародним проектом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Тюнінг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Tuning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educational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structures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Europe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, TUNING) перші</w:t>
      </w:r>
      <w:r w:rsidRPr="00713D54">
        <w:rPr>
          <w:rFonts w:ascii="Times New Roman" w:hAnsi="Times New Roman" w:cs="Times New Roman"/>
          <w:lang w:val="uk-UA"/>
        </w:rPr>
        <w:t xml:space="preserve">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залежать від предметної галузі й визначають профіль освітньої програми та кваліфікацію випускника (вони роблять кожну освітню програму індивідуальною) [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с. 15]. Загальними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компетентностями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студент оволодіває в процесі виконання даної освітньої програми, але вони носять універсальний, не прив’язаний до предметної галузі характер. 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Прикладами </w:t>
      </w:r>
      <w:r w:rsid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загальних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C47">
        <w:rPr>
          <w:rFonts w:ascii="Times New Roman" w:hAnsi="Times New Roman" w:cs="Times New Roman"/>
          <w:sz w:val="28"/>
          <w:szCs w:val="28"/>
          <w:lang w:val="uk-UA" w:eastAsia="ru-RU"/>
        </w:rPr>
        <w:t>для здобувачів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вищої освіти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є: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GB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вчитися та оволодівати сучасними знаннями;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реалізовувати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lastRenderedPageBreak/>
        <w:t>– здатність зберігати та примножувати моральні, культурні, наукові цінності і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працювати в команді;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планувати та управляти часом;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спілкуватися державною мовою як усно, так і письмово;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спілкуватися іноземною мовою;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навички використання інформаційних і комунікаційних технологій;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навички міжособистісної взаємодії;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бути критичним і самокритичним;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діяти на основі етичних міркувань (мотивів);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/>
        </w:rPr>
        <w:t>– здатність застосовувати знання у практичних ситуаціях.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Загальні компетентності відповідають фаховим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компетентностям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. При розробленні освітньо-професійних програм їх розвиток обов’язково повинен бути запланований.</w:t>
      </w:r>
    </w:p>
    <w:p w:rsidR="00713D54" w:rsidRPr="00713D54" w:rsidRDefault="008F3C47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Враховуючи те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результати навчання – сукупність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, що визначають знання, розуміння, уміння, цінності, інші особистісні якості, яких набув студент після завершення освітньої програми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то р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озробляючи освітн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ьо-професійну 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програму підготовки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здобувачів необхідно керуватися при 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формулюва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нні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результат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положеннями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щоб можна було однозначно визначити факт та якість їх досягнення студентами. Адже результати навчання тісно пов’язані з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компетентностями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F3C47" w:rsidRPr="008F3C47" w:rsidRDefault="008F3C47" w:rsidP="008F3C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дослідження виокремлюємо такі складники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фахової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компетентності</w:t>
      </w:r>
      <w:r w:rsidR="00FC3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такі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як: </w:t>
      </w:r>
    </w:p>
    <w:p w:rsidR="008F3C47" w:rsidRPr="008F3C47" w:rsidRDefault="008F3C47" w:rsidP="008F3C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>• когнітивний (знання та розуміння основних понять, категорій, термінів, принципів</w:t>
      </w:r>
      <w:r w:rsidR="00FC38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навчальних дисциплін відповідної спеціальності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); </w:t>
      </w:r>
    </w:p>
    <w:p w:rsidR="008F3C47" w:rsidRPr="008F3C47" w:rsidRDefault="008F3C47" w:rsidP="008F3C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• </w:t>
      </w:r>
      <w:proofErr w:type="spellStart"/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>діяльнісно-процесуальний</w:t>
      </w:r>
      <w:proofErr w:type="spellEnd"/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(уміння застосовувати знання з 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навчальних дисциплін на практиці та під час освітнього процесу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свідомо обирати способи 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дії та поведінки й діяти відповідально; брати участь в діяльності студентського самоврядування, волонтерській діяльності в громаді, реалізувати демократичні процедури ухвалення рішень; залучатися до колективної діяльності (співпраці в команді, соціальному проекті), оцінювати її результати; критично сприймати інформацію, досліджувати та застосовувати її; формулювати, висловлювати та аргументувати власну позицію; брати участь у дискусіях); </w:t>
      </w:r>
    </w:p>
    <w:p w:rsidR="008F3C47" w:rsidRPr="008F3C47" w:rsidRDefault="008F3C47" w:rsidP="008F3C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>• ціннісний (позитивне ставлення до прав людини і громадянина, відповідні ціннісні орієнтації та установки; прояви в поведінці відчуття власної гідності, шанування прав людини та свободи особистості, повага до закону; свідоме ставлення до обов’язків і відповідальність за власні вчинки й поведінку; повага до людської гідності та прав інших; прагнення до справедливості, рівноправ’я; розуміння світу як багатоманітного; толерантність)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[3, с. 115]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F3C47" w:rsidRPr="008F3C47" w:rsidRDefault="008F3C47" w:rsidP="008F3C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Отже, 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фахова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компетентність – це сукупність систематизованих знань про 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галузь фахових знань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вмінь їх використовувати у типових і нестандартних ситуаціях, обирати адекватні моделі поведінки, керуватися в своєму житті та діяльності принципами, поваги до прав і свобод людини тощо. Водночас, вони інтегрують ці елементи у різні структурні компоненти. Складовими </w:t>
      </w:r>
      <w:r w:rsidR="00BF3B40">
        <w:rPr>
          <w:rFonts w:ascii="Times New Roman" w:hAnsi="Times New Roman" w:cs="Times New Roman"/>
          <w:sz w:val="28"/>
          <w:szCs w:val="28"/>
          <w:lang w:val="uk-UA" w:eastAsia="ru-RU"/>
        </w:rPr>
        <w:t>фахової</w:t>
      </w:r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компетентність визначаємо: когнітивний, </w:t>
      </w:r>
      <w:proofErr w:type="spellStart"/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>діяльнісно-процесуальний</w:t>
      </w:r>
      <w:proofErr w:type="spellEnd"/>
      <w:r w:rsidRPr="008F3C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ціннісно-мотиваційний (аксіологічний) компоненти. У системних взаємозв’язках вони забезпечують здатність особистості діяти на основі здобутих знань, реалізувати активну правомірну поведінку. </w:t>
      </w:r>
    </w:p>
    <w:p w:rsidR="00713D54" w:rsidRPr="00713D54" w:rsidRDefault="00713D54" w:rsidP="00713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en-GB"/>
        </w:rPr>
      </w:pPr>
    </w:p>
    <w:p w:rsidR="00713D54" w:rsidRPr="00713D54" w:rsidRDefault="00713D54" w:rsidP="00713D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13D5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Список літератури</w:t>
      </w:r>
    </w:p>
    <w:p w:rsidR="00713D54" w:rsidRP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 Рашкевич Ю.М. Болонський процес та нова парадигма вищої освіти: </w:t>
      </w:r>
      <w:r w:rsidRPr="00713D54">
        <w:rPr>
          <w:rFonts w:ascii="Times New Roman" w:hAnsi="Times New Roman" w:cs="Times New Roman"/>
          <w:i/>
          <w:sz w:val="28"/>
          <w:szCs w:val="28"/>
          <w:lang w:val="uk-UA" w:eastAsia="ru-RU"/>
        </w:rPr>
        <w:t>монографія</w:t>
      </w: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. Львів: Вид-во Львівської політехніки, 2014. 168 с.</w:t>
      </w:r>
    </w:p>
    <w:p w:rsidR="00713D54" w:rsidRDefault="00713D54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 Розроблення освітніх програм. Методичні рекомендації / Авт.: В.М.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Захарченко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В.І. Луговий, Ю.М.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Рашкевич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Ж.В. </w:t>
      </w:r>
      <w:proofErr w:type="spellStart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>Таланова</w:t>
      </w:r>
      <w:proofErr w:type="spellEnd"/>
      <w:r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За ред. В.Г. Кременя. К. : ДП «НВЦ «Пріоритети », 2014. 120 с.</w:t>
      </w:r>
    </w:p>
    <w:p w:rsidR="00BF3B40" w:rsidRPr="00BF3B40" w:rsidRDefault="00BF3B40" w:rsidP="00BF3B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3. 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Lavrentieva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L.O.,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Rybalko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L.M.,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Lakomova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O.O.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Implementation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dual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system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vocational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education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history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trends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perspectives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The actual problems of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world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today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collective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monograph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London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United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Kingdom</w:t>
      </w:r>
      <w:proofErr w:type="spellEnd"/>
      <w:r w:rsidRPr="00BF3B40">
        <w:rPr>
          <w:rFonts w:ascii="Times New Roman" w:hAnsi="Times New Roman" w:cs="Times New Roman"/>
          <w:sz w:val="28"/>
          <w:szCs w:val="28"/>
          <w:lang w:val="uk-UA" w:eastAsia="ru-RU"/>
        </w:rPr>
        <w:t>, 2019. p. 114-124.</w:t>
      </w:r>
    </w:p>
    <w:p w:rsidR="00713D54" w:rsidRPr="00713D54" w:rsidRDefault="00BF3B40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 ECTS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Users’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Guide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European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Communities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6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February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2009. [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Electronic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resource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]. – URL: ec.europa.eu/education/lifelong-learning-policy/doc/ects/guide_en.pdf.</w:t>
      </w:r>
    </w:p>
    <w:p w:rsidR="00713D54" w:rsidRPr="00713D54" w:rsidRDefault="00BF3B40" w:rsidP="00713D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Tuning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educational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structures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Europe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, TUNING. [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Electronic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resource</w:t>
      </w:r>
      <w:proofErr w:type="spellEnd"/>
      <w:r w:rsidR="00713D54" w:rsidRPr="00713D54">
        <w:rPr>
          <w:rFonts w:ascii="Times New Roman" w:hAnsi="Times New Roman" w:cs="Times New Roman"/>
          <w:sz w:val="28"/>
          <w:szCs w:val="28"/>
          <w:lang w:val="uk-UA" w:eastAsia="ru-RU"/>
        </w:rPr>
        <w:t>] – URL: www.unideusto.org/tuningeu.</w:t>
      </w:r>
    </w:p>
    <w:p w:rsidR="00713D54" w:rsidRDefault="00713D54" w:rsidP="00713D54">
      <w:pPr>
        <w:spacing w:line="360" w:lineRule="auto"/>
        <w:ind w:firstLine="387"/>
        <w:jc w:val="center"/>
        <w:rPr>
          <w:noProof/>
          <w:sz w:val="28"/>
          <w:szCs w:val="28"/>
          <w:lang w:val="uk-UA" w:eastAsia="en-GB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713D54" w:rsidRPr="00DC7B68" w:rsidRDefault="00713D54" w:rsidP="006A730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13D54" w:rsidRPr="00DC7B68" w:rsidSect="00DC7B68">
      <w:pgSz w:w="11907" w:h="16840"/>
      <w:pgMar w:top="1134" w:right="1134" w:bottom="1134" w:left="1134" w:header="720" w:footer="720" w:gutter="5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12"/>
    <w:rsid w:val="00055F1F"/>
    <w:rsid w:val="000D658C"/>
    <w:rsid w:val="00121BCC"/>
    <w:rsid w:val="00213990"/>
    <w:rsid w:val="00261C1E"/>
    <w:rsid w:val="002F5CC7"/>
    <w:rsid w:val="00320067"/>
    <w:rsid w:val="0036667B"/>
    <w:rsid w:val="003B6B01"/>
    <w:rsid w:val="003B795F"/>
    <w:rsid w:val="003C6012"/>
    <w:rsid w:val="003F20E0"/>
    <w:rsid w:val="00417FFB"/>
    <w:rsid w:val="00451958"/>
    <w:rsid w:val="004B0E5D"/>
    <w:rsid w:val="004F67A5"/>
    <w:rsid w:val="00510CF9"/>
    <w:rsid w:val="00556DAB"/>
    <w:rsid w:val="005C0124"/>
    <w:rsid w:val="005C7333"/>
    <w:rsid w:val="005E3A18"/>
    <w:rsid w:val="006164D9"/>
    <w:rsid w:val="00644A23"/>
    <w:rsid w:val="00645B20"/>
    <w:rsid w:val="0065365C"/>
    <w:rsid w:val="006568F3"/>
    <w:rsid w:val="00684A48"/>
    <w:rsid w:val="006964B5"/>
    <w:rsid w:val="006A7308"/>
    <w:rsid w:val="006D7410"/>
    <w:rsid w:val="00713D54"/>
    <w:rsid w:val="00726E65"/>
    <w:rsid w:val="00770080"/>
    <w:rsid w:val="00775DF2"/>
    <w:rsid w:val="00792773"/>
    <w:rsid w:val="00814A82"/>
    <w:rsid w:val="00830B8B"/>
    <w:rsid w:val="00874BF8"/>
    <w:rsid w:val="00876945"/>
    <w:rsid w:val="00890003"/>
    <w:rsid w:val="008C3112"/>
    <w:rsid w:val="008D4E8F"/>
    <w:rsid w:val="008F3C47"/>
    <w:rsid w:val="0091774A"/>
    <w:rsid w:val="009406AC"/>
    <w:rsid w:val="00984336"/>
    <w:rsid w:val="00B13F85"/>
    <w:rsid w:val="00B16F9B"/>
    <w:rsid w:val="00B712FE"/>
    <w:rsid w:val="00B845ED"/>
    <w:rsid w:val="00B965F9"/>
    <w:rsid w:val="00BD7883"/>
    <w:rsid w:val="00BF3B40"/>
    <w:rsid w:val="00BF5AA8"/>
    <w:rsid w:val="00CB09E6"/>
    <w:rsid w:val="00D15BD0"/>
    <w:rsid w:val="00D254C3"/>
    <w:rsid w:val="00D33EB3"/>
    <w:rsid w:val="00D63DF9"/>
    <w:rsid w:val="00DC2892"/>
    <w:rsid w:val="00DC7B68"/>
    <w:rsid w:val="00E005AB"/>
    <w:rsid w:val="00F039EF"/>
    <w:rsid w:val="00F138D5"/>
    <w:rsid w:val="00F54638"/>
    <w:rsid w:val="00F5558E"/>
    <w:rsid w:val="00FA2E6B"/>
    <w:rsid w:val="00FB2271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1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rdtytu-1">
    <w:name w:val="wl_śródtytuł-1"/>
    <w:basedOn w:val="a"/>
    <w:rsid w:val="008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31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12"/>
    <w:rPr>
      <w:rFonts w:ascii="Tahoma" w:hAnsi="Tahoma" w:cs="Tahoma"/>
      <w:sz w:val="16"/>
      <w:szCs w:val="16"/>
    </w:rPr>
  </w:style>
  <w:style w:type="character" w:customStyle="1" w:styleId="blue">
    <w:name w:val="blue"/>
    <w:basedOn w:val="a0"/>
    <w:rsid w:val="00F5558E"/>
  </w:style>
  <w:style w:type="character" w:styleId="a7">
    <w:name w:val="Strong"/>
    <w:basedOn w:val="a0"/>
    <w:uiPriority w:val="22"/>
    <w:qFormat/>
    <w:rsid w:val="00F5558E"/>
    <w:rPr>
      <w:b/>
      <w:bCs/>
    </w:rPr>
  </w:style>
  <w:style w:type="paragraph" w:styleId="a8">
    <w:name w:val="List Paragraph"/>
    <w:basedOn w:val="a"/>
    <w:uiPriority w:val="34"/>
    <w:qFormat/>
    <w:rsid w:val="00770080"/>
    <w:pPr>
      <w:ind w:left="720"/>
      <w:contextualSpacing/>
    </w:pPr>
  </w:style>
  <w:style w:type="paragraph" w:styleId="1">
    <w:name w:val="toc 1"/>
    <w:basedOn w:val="a"/>
    <w:autoRedefine/>
    <w:unhideWhenUsed/>
    <w:rsid w:val="00D3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7308"/>
    <w:rPr>
      <w:color w:val="0000FF" w:themeColor="hyperlink"/>
      <w:u w:val="single"/>
    </w:rPr>
  </w:style>
  <w:style w:type="paragraph" w:styleId="aa">
    <w:name w:val="Body Text Indent"/>
    <w:basedOn w:val="a"/>
    <w:link w:val="ab"/>
    <w:semiHidden/>
    <w:unhideWhenUsed/>
    <w:rsid w:val="00890003"/>
    <w:pPr>
      <w:spacing w:after="200" w:line="276" w:lineRule="auto"/>
      <w:ind w:left="-540" w:firstLine="540"/>
      <w:jc w:val="center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890003"/>
    <w:rPr>
      <w:rFonts w:ascii="Calibri" w:eastAsia="Times New Roman" w:hAnsi="Calibri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1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rdtytu-1">
    <w:name w:val="wl_śródtytuł-1"/>
    <w:basedOn w:val="a"/>
    <w:rsid w:val="008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31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12"/>
    <w:rPr>
      <w:rFonts w:ascii="Tahoma" w:hAnsi="Tahoma" w:cs="Tahoma"/>
      <w:sz w:val="16"/>
      <w:szCs w:val="16"/>
    </w:rPr>
  </w:style>
  <w:style w:type="character" w:customStyle="1" w:styleId="blue">
    <w:name w:val="blue"/>
    <w:basedOn w:val="a0"/>
    <w:rsid w:val="00F5558E"/>
  </w:style>
  <w:style w:type="character" w:styleId="a7">
    <w:name w:val="Strong"/>
    <w:basedOn w:val="a0"/>
    <w:uiPriority w:val="22"/>
    <w:qFormat/>
    <w:rsid w:val="00F5558E"/>
    <w:rPr>
      <w:b/>
      <w:bCs/>
    </w:rPr>
  </w:style>
  <w:style w:type="paragraph" w:styleId="a8">
    <w:name w:val="List Paragraph"/>
    <w:basedOn w:val="a"/>
    <w:uiPriority w:val="34"/>
    <w:qFormat/>
    <w:rsid w:val="00770080"/>
    <w:pPr>
      <w:ind w:left="720"/>
      <w:contextualSpacing/>
    </w:pPr>
  </w:style>
  <w:style w:type="paragraph" w:styleId="1">
    <w:name w:val="toc 1"/>
    <w:basedOn w:val="a"/>
    <w:autoRedefine/>
    <w:unhideWhenUsed/>
    <w:rsid w:val="00D3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7308"/>
    <w:rPr>
      <w:color w:val="0000FF" w:themeColor="hyperlink"/>
      <w:u w:val="single"/>
    </w:rPr>
  </w:style>
  <w:style w:type="paragraph" w:styleId="aa">
    <w:name w:val="Body Text Indent"/>
    <w:basedOn w:val="a"/>
    <w:link w:val="ab"/>
    <w:semiHidden/>
    <w:unhideWhenUsed/>
    <w:rsid w:val="00890003"/>
    <w:pPr>
      <w:spacing w:after="200" w:line="276" w:lineRule="auto"/>
      <w:ind w:left="-540" w:firstLine="540"/>
      <w:jc w:val="center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890003"/>
    <w:rPr>
      <w:rFonts w:ascii="Calibri" w:eastAsia="Times New Roman" w:hAnsi="Calibri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3099-0760-47EB-8FEB-7CD5380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2019-12-22T20:33:00Z</dcterms:created>
  <dcterms:modified xsi:type="dcterms:W3CDTF">2020-03-23T07:36:00Z</dcterms:modified>
</cp:coreProperties>
</file>