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7F" w:rsidRPr="00320E17" w:rsidRDefault="00963A7F" w:rsidP="00320E17">
      <w:pPr>
        <w:spacing w:after="0" w:line="240" w:lineRule="auto"/>
        <w:ind w:firstLine="567"/>
        <w:rPr>
          <w:rFonts w:ascii="Times New Roman" w:hAnsi="Times New Roman"/>
          <w:b/>
          <w:sz w:val="24"/>
          <w:szCs w:val="24"/>
          <w:lang w:eastAsia="en-US"/>
        </w:rPr>
      </w:pPr>
      <w:r w:rsidRPr="00320E17">
        <w:rPr>
          <w:rFonts w:ascii="Times New Roman" w:hAnsi="Times New Roman"/>
          <w:b/>
          <w:sz w:val="24"/>
          <w:szCs w:val="24"/>
          <w:lang w:eastAsia="en-US"/>
        </w:rPr>
        <w:t>УДК 69.059</w:t>
      </w:r>
    </w:p>
    <w:p w:rsidR="00963A7F" w:rsidRPr="00320E17" w:rsidRDefault="00963A7F" w:rsidP="00320E17">
      <w:pPr>
        <w:spacing w:after="0" w:line="240" w:lineRule="auto"/>
        <w:ind w:firstLine="567"/>
        <w:jc w:val="right"/>
        <w:rPr>
          <w:rFonts w:ascii="Times New Roman" w:hAnsi="Times New Roman"/>
          <w:i/>
          <w:sz w:val="24"/>
          <w:szCs w:val="24"/>
        </w:rPr>
      </w:pPr>
      <w:r w:rsidRPr="00320E17">
        <w:rPr>
          <w:rFonts w:ascii="Times New Roman" w:hAnsi="Times New Roman"/>
          <w:i/>
          <w:sz w:val="24"/>
          <w:szCs w:val="24"/>
          <w:lang w:eastAsia="en-US"/>
        </w:rPr>
        <w:t xml:space="preserve">Пічугін С.Ф., д.т.н., проф., </w:t>
      </w:r>
    </w:p>
    <w:p w:rsidR="00963A7F" w:rsidRPr="00320E17" w:rsidRDefault="00963A7F" w:rsidP="00320E17">
      <w:pPr>
        <w:spacing w:after="0" w:line="240" w:lineRule="auto"/>
        <w:ind w:firstLine="567"/>
        <w:jc w:val="right"/>
        <w:rPr>
          <w:rFonts w:ascii="Times New Roman" w:hAnsi="Times New Roman"/>
          <w:i/>
          <w:sz w:val="24"/>
          <w:szCs w:val="24"/>
          <w:lang w:eastAsia="en-US"/>
        </w:rPr>
      </w:pPr>
      <w:r w:rsidRPr="00320E17">
        <w:rPr>
          <w:rFonts w:ascii="Times New Roman" w:hAnsi="Times New Roman"/>
          <w:i/>
          <w:sz w:val="24"/>
          <w:szCs w:val="24"/>
          <w:lang w:val="en-US"/>
        </w:rPr>
        <w:t>ORSID</w:t>
      </w:r>
      <w:r w:rsidRPr="00320E17">
        <w:rPr>
          <w:rFonts w:ascii="Times New Roman" w:hAnsi="Times New Roman"/>
          <w:i/>
          <w:sz w:val="24"/>
          <w:szCs w:val="24"/>
        </w:rPr>
        <w:t xml:space="preserve"> 0000-0001-8505-2130 </w:t>
      </w:r>
      <w:r w:rsidRPr="00320E17">
        <w:rPr>
          <w:rFonts w:ascii="Times New Roman" w:hAnsi="Times New Roman"/>
          <w:i/>
          <w:sz w:val="24"/>
          <w:szCs w:val="24"/>
          <w:lang w:val="en-US"/>
        </w:rPr>
        <w:t>pichugin</w:t>
      </w:r>
      <w:r w:rsidRPr="00320E17">
        <w:rPr>
          <w:rFonts w:ascii="Times New Roman" w:hAnsi="Times New Roman"/>
          <w:i/>
          <w:sz w:val="24"/>
          <w:szCs w:val="24"/>
        </w:rPr>
        <w:t>.</w:t>
      </w:r>
      <w:r w:rsidRPr="00320E17">
        <w:rPr>
          <w:rFonts w:ascii="Times New Roman" w:hAnsi="Times New Roman"/>
          <w:i/>
          <w:sz w:val="24"/>
          <w:szCs w:val="24"/>
          <w:lang w:val="en-US"/>
        </w:rPr>
        <w:t>sf</w:t>
      </w:r>
      <w:r w:rsidRPr="00320E17">
        <w:rPr>
          <w:rFonts w:ascii="Times New Roman" w:hAnsi="Times New Roman"/>
          <w:i/>
          <w:sz w:val="24"/>
          <w:szCs w:val="24"/>
        </w:rPr>
        <w:t>@</w:t>
      </w:r>
      <w:r w:rsidRPr="00320E17">
        <w:rPr>
          <w:rFonts w:ascii="Times New Roman" w:hAnsi="Times New Roman"/>
          <w:i/>
          <w:sz w:val="24"/>
          <w:szCs w:val="24"/>
          <w:lang w:val="en-US"/>
        </w:rPr>
        <w:t>gmail</w:t>
      </w:r>
      <w:r w:rsidRPr="00320E17">
        <w:rPr>
          <w:rFonts w:ascii="Times New Roman" w:hAnsi="Times New Roman"/>
          <w:i/>
          <w:sz w:val="24"/>
          <w:szCs w:val="24"/>
        </w:rPr>
        <w:t>.</w:t>
      </w:r>
      <w:r w:rsidRPr="00320E17">
        <w:rPr>
          <w:rFonts w:ascii="Times New Roman" w:hAnsi="Times New Roman"/>
          <w:i/>
          <w:sz w:val="24"/>
          <w:szCs w:val="24"/>
          <w:lang w:val="en-US"/>
        </w:rPr>
        <w:t>com</w:t>
      </w:r>
    </w:p>
    <w:p w:rsidR="00963A7F" w:rsidRPr="00320E17" w:rsidRDefault="00963A7F" w:rsidP="00320E17">
      <w:pPr>
        <w:spacing w:after="0" w:line="240" w:lineRule="auto"/>
        <w:ind w:firstLine="567"/>
        <w:jc w:val="right"/>
        <w:rPr>
          <w:rFonts w:ascii="Times New Roman" w:hAnsi="Times New Roman"/>
          <w:i/>
          <w:sz w:val="24"/>
          <w:szCs w:val="24"/>
          <w:lang w:eastAsia="en-US"/>
        </w:rPr>
      </w:pPr>
      <w:r w:rsidRPr="00320E17">
        <w:rPr>
          <w:rFonts w:ascii="Times New Roman" w:hAnsi="Times New Roman"/>
          <w:i/>
          <w:sz w:val="24"/>
          <w:szCs w:val="24"/>
          <w:lang w:eastAsia="en-US"/>
        </w:rPr>
        <w:t xml:space="preserve">Клочко Л.А., аспірантка, </w:t>
      </w:r>
      <w:r w:rsidRPr="00320E17">
        <w:rPr>
          <w:rFonts w:ascii="Times New Roman" w:hAnsi="Times New Roman"/>
          <w:i/>
          <w:sz w:val="24"/>
          <w:szCs w:val="24"/>
          <w:lang w:val="en-US" w:eastAsia="en-US"/>
        </w:rPr>
        <w:t>lina</w:t>
      </w:r>
      <w:r w:rsidRPr="00320E17">
        <w:rPr>
          <w:rFonts w:ascii="Times New Roman" w:hAnsi="Times New Roman"/>
          <w:i/>
          <w:sz w:val="24"/>
          <w:szCs w:val="24"/>
          <w:lang w:eastAsia="en-US"/>
        </w:rPr>
        <w:t>,</w:t>
      </w:r>
      <w:r w:rsidRPr="00320E17">
        <w:rPr>
          <w:rFonts w:ascii="Times New Roman" w:hAnsi="Times New Roman"/>
          <w:i/>
          <w:sz w:val="24"/>
          <w:szCs w:val="24"/>
          <w:lang w:val="en-US" w:eastAsia="en-US"/>
        </w:rPr>
        <w:t>dmitrenko</w:t>
      </w:r>
      <w:r w:rsidRPr="00320E17">
        <w:rPr>
          <w:rFonts w:ascii="Times New Roman" w:hAnsi="Times New Roman"/>
          <w:i/>
          <w:sz w:val="24"/>
          <w:szCs w:val="24"/>
          <w:lang w:eastAsia="en-US"/>
        </w:rPr>
        <w:t>@</w:t>
      </w:r>
      <w:r w:rsidRPr="00320E17">
        <w:rPr>
          <w:rFonts w:ascii="Times New Roman" w:hAnsi="Times New Roman"/>
          <w:i/>
          <w:sz w:val="24"/>
          <w:szCs w:val="24"/>
          <w:lang w:val="en-US" w:eastAsia="en-US"/>
        </w:rPr>
        <w:t>gmail</w:t>
      </w:r>
      <w:r w:rsidRPr="00320E17">
        <w:rPr>
          <w:rFonts w:ascii="Times New Roman" w:hAnsi="Times New Roman"/>
          <w:i/>
          <w:sz w:val="24"/>
          <w:szCs w:val="24"/>
          <w:lang w:eastAsia="en-US"/>
        </w:rPr>
        <w:t>.</w:t>
      </w:r>
      <w:r w:rsidRPr="00320E17">
        <w:rPr>
          <w:rFonts w:ascii="Times New Roman" w:hAnsi="Times New Roman"/>
          <w:i/>
          <w:sz w:val="24"/>
          <w:szCs w:val="24"/>
          <w:lang w:val="en-US" w:eastAsia="en-US"/>
        </w:rPr>
        <w:t>com</w:t>
      </w:r>
    </w:p>
    <w:p w:rsidR="00963A7F" w:rsidRPr="00320E17" w:rsidRDefault="00963A7F" w:rsidP="00320E17">
      <w:pPr>
        <w:spacing w:after="0" w:line="240" w:lineRule="auto"/>
        <w:ind w:firstLine="567"/>
        <w:jc w:val="right"/>
        <w:rPr>
          <w:rFonts w:ascii="Times New Roman" w:hAnsi="Times New Roman"/>
          <w:i/>
          <w:sz w:val="24"/>
          <w:szCs w:val="24"/>
          <w:lang w:val="ru-RU" w:eastAsia="en-US"/>
        </w:rPr>
      </w:pPr>
      <w:r w:rsidRPr="00320E17">
        <w:rPr>
          <w:rFonts w:ascii="Times New Roman" w:hAnsi="Times New Roman"/>
          <w:i/>
          <w:sz w:val="24"/>
          <w:szCs w:val="24"/>
          <w:lang w:eastAsia="en-US"/>
        </w:rPr>
        <w:t>Полтавський національний технічний університет імені Юрія Кондратюка,</w:t>
      </w:r>
    </w:p>
    <w:p w:rsidR="00963A7F" w:rsidRPr="00320E17" w:rsidRDefault="00963A7F" w:rsidP="00320E17">
      <w:pPr>
        <w:spacing w:after="0" w:line="240" w:lineRule="auto"/>
        <w:ind w:firstLine="567"/>
        <w:jc w:val="right"/>
        <w:rPr>
          <w:rFonts w:ascii="Times New Roman" w:hAnsi="Times New Roman"/>
          <w:i/>
          <w:sz w:val="24"/>
          <w:szCs w:val="24"/>
          <w:lang w:eastAsia="en-US"/>
        </w:rPr>
      </w:pPr>
      <w:r w:rsidRPr="00320E17">
        <w:rPr>
          <w:rFonts w:ascii="Times New Roman" w:hAnsi="Times New Roman"/>
          <w:i/>
          <w:sz w:val="24"/>
          <w:szCs w:val="24"/>
          <w:lang w:eastAsia="en-US"/>
        </w:rPr>
        <w:t>м.Полтава, Україна</w:t>
      </w:r>
    </w:p>
    <w:p w:rsidR="00963A7F" w:rsidRPr="00320E17" w:rsidRDefault="00963A7F" w:rsidP="00320E17">
      <w:pPr>
        <w:spacing w:after="0" w:line="240" w:lineRule="auto"/>
        <w:ind w:firstLine="567"/>
        <w:rPr>
          <w:rFonts w:ascii="Times New Roman" w:hAnsi="Times New Roman"/>
          <w:i/>
          <w:sz w:val="24"/>
          <w:szCs w:val="24"/>
          <w:lang w:eastAsia="en-US"/>
        </w:rPr>
      </w:pPr>
    </w:p>
    <w:p w:rsidR="00963A7F" w:rsidRPr="00A9337D" w:rsidRDefault="00963A7F" w:rsidP="00A9337D">
      <w:pPr>
        <w:pStyle w:val="ListParagraph"/>
        <w:ind w:left="567"/>
        <w:jc w:val="center"/>
        <w:rPr>
          <w:b/>
          <w:sz w:val="28"/>
          <w:szCs w:val="28"/>
        </w:rPr>
      </w:pPr>
      <w:r w:rsidRPr="00A9337D">
        <w:rPr>
          <w:b/>
          <w:sz w:val="28"/>
          <w:szCs w:val="28"/>
        </w:rPr>
        <w:t>Питання</w:t>
      </w:r>
      <w:r>
        <w:rPr>
          <w:b/>
          <w:i/>
          <w:sz w:val="24"/>
          <w:szCs w:val="24"/>
        </w:rPr>
        <w:t xml:space="preserve"> </w:t>
      </w:r>
      <w:r w:rsidRPr="00A9337D">
        <w:rPr>
          <w:b/>
          <w:sz w:val="28"/>
          <w:szCs w:val="28"/>
        </w:rPr>
        <w:t>прогресуючого руйнування будівель і споруд</w:t>
      </w:r>
    </w:p>
    <w:p w:rsidR="00963A7F" w:rsidRDefault="00963A7F" w:rsidP="00A9337D">
      <w:pPr>
        <w:pStyle w:val="NoSpacing"/>
        <w:widowControl w:val="0"/>
        <w:ind w:firstLine="567"/>
        <w:jc w:val="center"/>
        <w:rPr>
          <w:rFonts w:ascii="Times New Roman" w:hAnsi="Times New Roman"/>
          <w:b/>
          <w:sz w:val="28"/>
          <w:szCs w:val="28"/>
        </w:rPr>
      </w:pPr>
    </w:p>
    <w:p w:rsidR="00963A7F" w:rsidRPr="007D5B8F" w:rsidRDefault="00963A7F" w:rsidP="000D4A06">
      <w:pPr>
        <w:pStyle w:val="NoSpacing"/>
        <w:widowControl w:val="0"/>
        <w:ind w:firstLine="567"/>
        <w:jc w:val="both"/>
        <w:rPr>
          <w:rFonts w:ascii="Times New Roman" w:hAnsi="Times New Roman"/>
          <w:i/>
          <w:sz w:val="24"/>
          <w:szCs w:val="24"/>
        </w:rPr>
      </w:pPr>
      <w:r w:rsidRPr="000D4A06">
        <w:rPr>
          <w:rFonts w:ascii="Times New Roman" w:hAnsi="Times New Roman"/>
          <w:b/>
          <w:i/>
          <w:sz w:val="24"/>
          <w:szCs w:val="24"/>
        </w:rPr>
        <w:t xml:space="preserve">Анотація. </w:t>
      </w:r>
      <w:r>
        <w:rPr>
          <w:rFonts w:ascii="Times New Roman" w:hAnsi="Times New Roman"/>
          <w:i/>
          <w:sz w:val="24"/>
          <w:szCs w:val="24"/>
        </w:rPr>
        <w:t>Дана стаття представляє розгляд нововведених за</w:t>
      </w:r>
      <w:r w:rsidRPr="00A9337D">
        <w:rPr>
          <w:rFonts w:ascii="Times New Roman" w:hAnsi="Times New Roman"/>
          <w:i/>
          <w:sz w:val="24"/>
          <w:szCs w:val="24"/>
          <w:lang w:val="ru-RU"/>
        </w:rPr>
        <w:t xml:space="preserve"> </w:t>
      </w:r>
      <w:r>
        <w:rPr>
          <w:rFonts w:ascii="Times New Roman" w:hAnsi="Times New Roman"/>
          <w:i/>
          <w:sz w:val="24"/>
          <w:szCs w:val="24"/>
        </w:rPr>
        <w:t xml:space="preserve">кордоном нормативних документів у сфері будівництва із питання прогнозування виникнення імовірної аварії на будівельному об’єкті. Нормування та створення методології такого розрахунку на наш час не має аналогів і було створено вперше. Стаття розкриває найбільш важливі питання збірки правил: </w:t>
      </w:r>
      <w:r w:rsidRPr="007D5B8F">
        <w:rPr>
          <w:rFonts w:ascii="Times New Roman" w:hAnsi="Times New Roman"/>
          <w:i/>
          <w:sz w:val="24"/>
          <w:szCs w:val="24"/>
        </w:rPr>
        <w:t>«</w:t>
      </w:r>
      <w:r>
        <w:rPr>
          <w:rFonts w:ascii="Times New Roman" w:hAnsi="Times New Roman"/>
          <w:i/>
          <w:sz w:val="24"/>
          <w:szCs w:val="24"/>
        </w:rPr>
        <w:t>З</w:t>
      </w:r>
      <w:r w:rsidRPr="007D5B8F">
        <w:rPr>
          <w:rFonts w:ascii="Times New Roman" w:hAnsi="Times New Roman"/>
          <w:i/>
          <w:sz w:val="24"/>
          <w:szCs w:val="24"/>
        </w:rPr>
        <w:t>ахист будівель і споруд від прогресуючого обвалення. Правила проектування»</w:t>
      </w:r>
      <w:r>
        <w:rPr>
          <w:rFonts w:ascii="Times New Roman" w:hAnsi="Times New Roman"/>
          <w:i/>
          <w:sz w:val="24"/>
          <w:szCs w:val="24"/>
        </w:rPr>
        <w:t>, акцентується увага на типах екстремальних навантажень, які підлягають розгляду при проектуванні будівель та споруд в залежності від їх типів та призначення.</w:t>
      </w:r>
    </w:p>
    <w:p w:rsidR="00963A7F" w:rsidRDefault="00963A7F" w:rsidP="000D4A06">
      <w:pPr>
        <w:pStyle w:val="NoSpacing"/>
        <w:widowControl w:val="0"/>
        <w:ind w:firstLine="567"/>
        <w:jc w:val="both"/>
        <w:rPr>
          <w:rFonts w:ascii="Times New Roman" w:hAnsi="Times New Roman"/>
          <w:i/>
          <w:sz w:val="24"/>
          <w:szCs w:val="24"/>
        </w:rPr>
      </w:pPr>
      <w:r>
        <w:rPr>
          <w:rFonts w:ascii="Times New Roman" w:hAnsi="Times New Roman"/>
          <w:b/>
          <w:i/>
          <w:sz w:val="24"/>
          <w:szCs w:val="24"/>
        </w:rPr>
        <w:t xml:space="preserve">Ключові слова: </w:t>
      </w:r>
      <w:r>
        <w:rPr>
          <w:rFonts w:ascii="Times New Roman" w:hAnsi="Times New Roman"/>
          <w:i/>
          <w:sz w:val="24"/>
          <w:szCs w:val="24"/>
        </w:rPr>
        <w:t>аварія, прогресуюче руйнування, аварійна ситуація, методологія розрахунку, збірка правил, будівельні норми</w:t>
      </w:r>
    </w:p>
    <w:p w:rsidR="00963A7F" w:rsidRPr="000D4A06" w:rsidRDefault="00963A7F" w:rsidP="000D4A06">
      <w:pPr>
        <w:pStyle w:val="NoSpacing"/>
        <w:widowControl w:val="0"/>
        <w:ind w:firstLine="567"/>
        <w:jc w:val="both"/>
        <w:rPr>
          <w:rFonts w:ascii="Times New Roman" w:hAnsi="Times New Roman"/>
          <w:i/>
          <w:sz w:val="24"/>
          <w:szCs w:val="24"/>
        </w:rPr>
      </w:pPr>
    </w:p>
    <w:p w:rsidR="00963A7F" w:rsidRDefault="00963A7F" w:rsidP="00320E17">
      <w:pPr>
        <w:spacing w:after="0" w:line="240" w:lineRule="auto"/>
        <w:ind w:firstLine="567"/>
        <w:jc w:val="both"/>
        <w:rPr>
          <w:rFonts w:ascii="Times New Roman" w:hAnsi="Times New Roman"/>
          <w:sz w:val="24"/>
          <w:szCs w:val="24"/>
        </w:rPr>
      </w:pPr>
      <w:r w:rsidRPr="00320E17">
        <w:rPr>
          <w:rFonts w:ascii="Times New Roman" w:hAnsi="Times New Roman"/>
          <w:b/>
          <w:sz w:val="24"/>
          <w:szCs w:val="24"/>
        </w:rPr>
        <w:t>Вступ.</w:t>
      </w:r>
      <w:r w:rsidRPr="00320E17">
        <w:rPr>
          <w:rFonts w:ascii="Times New Roman" w:hAnsi="Times New Roman"/>
          <w:sz w:val="24"/>
          <w:szCs w:val="24"/>
        </w:rPr>
        <w:t xml:space="preserve"> </w:t>
      </w:r>
      <w:r>
        <w:rPr>
          <w:rFonts w:ascii="Times New Roman" w:hAnsi="Times New Roman"/>
          <w:sz w:val="24"/>
          <w:szCs w:val="24"/>
        </w:rPr>
        <w:t>Питання причин виникнення аварій будинків і споруд є досить актуальним в сучасних умовах. Варто зазначити, що все більша увага в наш час починає приділятися саме питанням створення статистики виникнення аварійних ситуацій та їх ретельного аналізу. За мету ставиться визначення класифікації виникнення аварій у будівництві та створення методології розрахунку сценарію імовірного виникнення аварійної ситуації на об’єкті, який споруджується.</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При цьому виникають такі поняття, як економічні та неекономічні наслідки під час аварій будівель і споруд для відповідного об’єкта. Якщо перше поняття досить поширене, мова про економічні наслідки ведеться досить давно і їх розрахунок затверджений державними будівельними норами, то неекономічні наслідки ще не мають чіткого алгоритму розрахунку.</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Виходячи із всього вище перерахованого, важливо зазначити той факт, що головна мета при введенні всіх цих понять і тверджень, – створення у процесі проектування будівельного об’єкту чіткої методології проведення аналізу імовірного виникнення аварії. Цілі такого розрахунку – аналіз найбільш вразливих ділянок конструкцій під час руйнування та усунення недоліків на етапі зведення будівлі, за необхідності їх підсилення. Результатом проведених вишукувань слугуватиме міцність та живучість будівлі при різних типах навантажень. Варто зазначити, що такі розрахунки включатимуть різноманітні впливи на конструкцію, навіть імовірність виникнення терористичного акту.</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Необхідність створення методології розрахунку аварійної ситуації виявляється не тільки в Україні, а і по всьому світу. Закордонні колеги уже не тільки</w:t>
      </w:r>
      <w:bookmarkStart w:id="0" w:name="_GoBack"/>
      <w:bookmarkEnd w:id="0"/>
      <w:r>
        <w:rPr>
          <w:rFonts w:ascii="Times New Roman" w:hAnsi="Times New Roman"/>
          <w:sz w:val="24"/>
          <w:szCs w:val="24"/>
        </w:rPr>
        <w:t xml:space="preserve"> пропонують варіанти вирішення цього питання, але і створюють та затверджують на державному рівні будівельні норми з приводу питання захисту будівель та споруд від прогресуючого обвалення.</w:t>
      </w:r>
    </w:p>
    <w:p w:rsidR="00963A7F" w:rsidRDefault="00963A7F" w:rsidP="00320E17">
      <w:pPr>
        <w:spacing w:after="0" w:line="240" w:lineRule="auto"/>
        <w:ind w:firstLine="567"/>
        <w:jc w:val="both"/>
        <w:rPr>
          <w:rFonts w:ascii="Times New Roman" w:hAnsi="Times New Roman"/>
          <w:sz w:val="24"/>
          <w:szCs w:val="24"/>
        </w:rPr>
      </w:pPr>
    </w:p>
    <w:p w:rsidR="00963A7F" w:rsidRPr="008F161E" w:rsidRDefault="00963A7F" w:rsidP="008F161E">
      <w:pPr>
        <w:pStyle w:val="ListParagraph"/>
        <w:ind w:left="0" w:firstLine="567"/>
        <w:jc w:val="both"/>
        <w:rPr>
          <w:sz w:val="24"/>
          <w:szCs w:val="24"/>
        </w:rPr>
      </w:pPr>
      <w:r w:rsidRPr="008F161E">
        <w:rPr>
          <w:b/>
          <w:sz w:val="24"/>
          <w:szCs w:val="24"/>
        </w:rPr>
        <w:t xml:space="preserve">Закордонні приклади законодавчої бази для розрахунку прогресуючого руйнування будівель і споруд. </w:t>
      </w:r>
      <w:r w:rsidRPr="008F161E">
        <w:rPr>
          <w:sz w:val="24"/>
          <w:szCs w:val="24"/>
        </w:rPr>
        <w:t>Яскравим прикладом створення законодавчої бази для розрахунку прогресуючого обрушення є перша редакція збірки правил, під назвою «Захист будівель і споруд від прогресуючого обвалення. Правила проектування»</w:t>
      </w:r>
      <w:r>
        <w:rPr>
          <w:sz w:val="24"/>
          <w:szCs w:val="24"/>
        </w:rPr>
        <w:t xml:space="preserve"> [1]</w:t>
      </w:r>
      <w:r w:rsidRPr="008F161E">
        <w:rPr>
          <w:sz w:val="24"/>
          <w:szCs w:val="24"/>
        </w:rPr>
        <w:t>.</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Даний документ викликає велику зацікавленість в наш час, так як він один із перших презентує методологію проведення моделювання та аналізу імовірності виникнення аварійної ситуації на будівельному об’єкті.</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Розглянемо більш детально його структуру та зміст. Збірка правил була розроблена вперше і вміщує в собі пояснення щодо області застосування даного документа, нормативні посилання та загальні вимоги використання. Також зазначається, що використання даного документа дасть змогу оптимізувати витрати при проектуванні, будівництві та експлуатації об’єктів промислового та нормального рівнів відповідальності та підвищити їх механічну безпечність.</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FC74A2">
        <w:rPr>
          <w:rFonts w:ascii="Times New Roman" w:hAnsi="Times New Roman"/>
          <w:sz w:val="24"/>
          <w:szCs w:val="24"/>
        </w:rPr>
        <w:t xml:space="preserve">ля будівель і споруд, в тому числі підвищеного рівня відповідальності, відповідно необхідно забезпечити таку міцність і стійкість, щоб в процесі будівництва і експлуатації не виникало загрози заподіяння шкоди життю або здоров'ю людей, майну та </w:t>
      </w:r>
      <w:r>
        <w:rPr>
          <w:rFonts w:ascii="Times New Roman" w:hAnsi="Times New Roman"/>
          <w:sz w:val="24"/>
          <w:szCs w:val="24"/>
        </w:rPr>
        <w:t>ін..</w:t>
      </w:r>
      <w:r w:rsidRPr="00FC74A2">
        <w:rPr>
          <w:rFonts w:ascii="Times New Roman" w:hAnsi="Times New Roman"/>
          <w:sz w:val="24"/>
          <w:szCs w:val="24"/>
        </w:rPr>
        <w:t xml:space="preserve"> в результаті: руйнування окремих несучих будівельних конструкцій або їх частин; руйнування всієї будівлі, споруди або їх частин; неприпустим</w:t>
      </w:r>
      <w:r>
        <w:rPr>
          <w:rFonts w:ascii="Times New Roman" w:hAnsi="Times New Roman"/>
          <w:sz w:val="24"/>
          <w:szCs w:val="24"/>
        </w:rPr>
        <w:t>і</w:t>
      </w:r>
      <w:r w:rsidRPr="00FC74A2">
        <w:rPr>
          <w:rFonts w:ascii="Times New Roman" w:hAnsi="Times New Roman"/>
          <w:sz w:val="24"/>
          <w:szCs w:val="24"/>
        </w:rPr>
        <w:t xml:space="preserve"> деформації будівельних конструкцій, </w:t>
      </w:r>
      <w:r>
        <w:rPr>
          <w:rFonts w:ascii="Times New Roman" w:hAnsi="Times New Roman"/>
          <w:sz w:val="24"/>
          <w:szCs w:val="24"/>
        </w:rPr>
        <w:t>основ</w:t>
      </w:r>
      <w:r w:rsidRPr="00FC74A2">
        <w:rPr>
          <w:rFonts w:ascii="Times New Roman" w:hAnsi="Times New Roman"/>
          <w:sz w:val="24"/>
          <w:szCs w:val="24"/>
        </w:rPr>
        <w:t xml:space="preserve"> будівлі або споруди і геологічних масивів прилеглої території; пошкодження частини будівлі або споруди, мереж інженерно-технічного забезпечення або систем інженерно-технічного забезпечення в результаті деформації, переміщень або втрати стійкості несучих будівельних конструкцій, в тому числі відхилень від вертикальності. Введення зводу правил в практику проектування відповідальних об'єктів </w:t>
      </w:r>
      <w:r>
        <w:rPr>
          <w:rFonts w:ascii="Times New Roman" w:hAnsi="Times New Roman"/>
          <w:sz w:val="24"/>
          <w:szCs w:val="24"/>
        </w:rPr>
        <w:t>відкривають</w:t>
      </w:r>
      <w:r w:rsidRPr="00FC74A2">
        <w:rPr>
          <w:rFonts w:ascii="Times New Roman" w:hAnsi="Times New Roman"/>
          <w:sz w:val="24"/>
          <w:szCs w:val="24"/>
        </w:rPr>
        <w:t xml:space="preserve"> </w:t>
      </w:r>
      <w:r>
        <w:rPr>
          <w:rFonts w:ascii="Times New Roman" w:hAnsi="Times New Roman"/>
          <w:sz w:val="24"/>
          <w:szCs w:val="24"/>
        </w:rPr>
        <w:t xml:space="preserve">можливість </w:t>
      </w:r>
      <w:r w:rsidRPr="00FC74A2">
        <w:rPr>
          <w:rFonts w:ascii="Times New Roman" w:hAnsi="Times New Roman"/>
          <w:sz w:val="24"/>
          <w:szCs w:val="24"/>
        </w:rPr>
        <w:t>перетворити загальні вимоги технічного регламенту «Про безпеку будівель і споруд» в конкретні технічні вимоги, виконання яких забезпечить безпеку проектованих, споруджуваних і експлуатованих об'єктів при аварійних впливах. Розробка стандарту, який встановлює захист будівель і споруд від прогресуючого обвалення і безпеку людей, що знаходяться в них, має найважливіше соціальне значення</w:t>
      </w:r>
      <w:r>
        <w:rPr>
          <w:rFonts w:ascii="Times New Roman" w:hAnsi="Times New Roman"/>
          <w:sz w:val="24"/>
          <w:szCs w:val="24"/>
        </w:rPr>
        <w:t xml:space="preserve"> </w:t>
      </w:r>
      <w:r w:rsidRPr="00FC74A2">
        <w:rPr>
          <w:rFonts w:ascii="Times New Roman" w:hAnsi="Times New Roman"/>
          <w:sz w:val="24"/>
          <w:szCs w:val="24"/>
          <w:lang w:val="ru-RU"/>
        </w:rPr>
        <w:t>[1]</w:t>
      </w:r>
      <w:r w:rsidRPr="00FC74A2">
        <w:rPr>
          <w:rFonts w:ascii="Times New Roman" w:hAnsi="Times New Roman"/>
          <w:sz w:val="24"/>
          <w:szCs w:val="24"/>
        </w:rPr>
        <w:t>.</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У документі зазначається, що при розрахунку будівель та споруд на особливі впливи розрахункові міцнісні та деформаційні характеристики матеріалів приймають рівними їх нормативним значенням згідно діючим нормам.</w:t>
      </w:r>
    </w:p>
    <w:p w:rsidR="00963A7F" w:rsidRDefault="00963A7F" w:rsidP="00320E17">
      <w:pPr>
        <w:spacing w:after="0" w:line="240" w:lineRule="auto"/>
        <w:ind w:firstLine="567"/>
        <w:jc w:val="both"/>
        <w:rPr>
          <w:rFonts w:ascii="Times New Roman" w:hAnsi="Times New Roman"/>
          <w:sz w:val="24"/>
          <w:szCs w:val="24"/>
        </w:rPr>
      </w:pPr>
      <w:r>
        <w:rPr>
          <w:rFonts w:ascii="Times New Roman" w:hAnsi="Times New Roman"/>
          <w:sz w:val="24"/>
          <w:szCs w:val="24"/>
        </w:rPr>
        <w:t>При дії проектних та аварійних особливих впливів максимально допустиму площу локального руйнування несучих конструкцій визначають наступним чином:</w:t>
      </w:r>
    </w:p>
    <w:p w:rsidR="00963A7F" w:rsidRDefault="00963A7F" w:rsidP="00FC74A2">
      <w:pPr>
        <w:pStyle w:val="ListParagraph"/>
        <w:numPr>
          <w:ilvl w:val="0"/>
          <w:numId w:val="3"/>
        </w:numPr>
        <w:jc w:val="both"/>
        <w:rPr>
          <w:sz w:val="24"/>
          <w:szCs w:val="24"/>
        </w:rPr>
      </w:pPr>
      <w:r>
        <w:rPr>
          <w:sz w:val="24"/>
          <w:szCs w:val="24"/>
        </w:rPr>
        <w:t xml:space="preserve">для будівель висотою менше </w:t>
      </w:r>
      <w:smartTag w:uri="urn:schemas-microsoft-com:office:smarttags" w:element="metricconverter">
        <w:smartTagPr>
          <w:attr w:name="ProductID" w:val="75 м"/>
        </w:smartTagPr>
        <w:r>
          <w:rPr>
            <w:sz w:val="24"/>
            <w:szCs w:val="24"/>
          </w:rPr>
          <w:t>75 м</w:t>
        </w:r>
      </w:smartTag>
      <w:r>
        <w:rPr>
          <w:sz w:val="24"/>
          <w:szCs w:val="24"/>
        </w:rPr>
        <w:t xml:space="preserve"> – до </w:t>
      </w:r>
      <w:smartTag w:uri="urn:schemas-microsoft-com:office:smarttags" w:element="metricconverter">
        <w:smartTagPr>
          <w:attr w:name="ProductID" w:val="40 м2"/>
        </w:smartTagPr>
        <w:r>
          <w:rPr>
            <w:sz w:val="24"/>
            <w:szCs w:val="24"/>
          </w:rPr>
          <w:t>40 м</w:t>
        </w:r>
        <w:r w:rsidRPr="00FC74A2">
          <w:rPr>
            <w:sz w:val="24"/>
            <w:szCs w:val="24"/>
            <w:vertAlign w:val="superscript"/>
          </w:rPr>
          <w:t>2</w:t>
        </w:r>
      </w:smartTag>
      <w:r>
        <w:rPr>
          <w:sz w:val="24"/>
          <w:szCs w:val="24"/>
        </w:rPr>
        <w:t>;</w:t>
      </w:r>
    </w:p>
    <w:p w:rsidR="00963A7F" w:rsidRDefault="00963A7F" w:rsidP="00FC74A2">
      <w:pPr>
        <w:pStyle w:val="ListParagraph"/>
        <w:numPr>
          <w:ilvl w:val="0"/>
          <w:numId w:val="3"/>
        </w:numPr>
        <w:jc w:val="both"/>
        <w:rPr>
          <w:sz w:val="24"/>
          <w:szCs w:val="24"/>
        </w:rPr>
      </w:pPr>
      <w:r>
        <w:rPr>
          <w:sz w:val="24"/>
          <w:szCs w:val="24"/>
        </w:rPr>
        <w:t xml:space="preserve">для будівель висотою від 75 до </w:t>
      </w:r>
      <w:smartTag w:uri="urn:schemas-microsoft-com:office:smarttags" w:element="metricconverter">
        <w:smartTagPr>
          <w:attr w:name="ProductID" w:val="200 м"/>
        </w:smartTagPr>
        <w:r>
          <w:rPr>
            <w:sz w:val="24"/>
            <w:szCs w:val="24"/>
          </w:rPr>
          <w:t>200 м</w:t>
        </w:r>
      </w:smartTag>
      <w:r>
        <w:rPr>
          <w:sz w:val="24"/>
          <w:szCs w:val="24"/>
        </w:rPr>
        <w:t xml:space="preserve"> – до </w:t>
      </w:r>
      <w:smartTag w:uri="urn:schemas-microsoft-com:office:smarttags" w:element="metricconverter">
        <w:smartTagPr>
          <w:attr w:name="ProductID" w:val="80 м2"/>
        </w:smartTagPr>
        <w:r>
          <w:rPr>
            <w:sz w:val="24"/>
            <w:szCs w:val="24"/>
          </w:rPr>
          <w:t>80 м</w:t>
        </w:r>
        <w:r w:rsidRPr="00FC74A2">
          <w:rPr>
            <w:sz w:val="24"/>
            <w:szCs w:val="24"/>
            <w:vertAlign w:val="superscript"/>
          </w:rPr>
          <w:t>2</w:t>
        </w:r>
      </w:smartTag>
      <w:r>
        <w:rPr>
          <w:sz w:val="24"/>
          <w:szCs w:val="24"/>
        </w:rPr>
        <w:t>;</w:t>
      </w:r>
    </w:p>
    <w:p w:rsidR="00963A7F" w:rsidRDefault="00963A7F" w:rsidP="00FC74A2">
      <w:pPr>
        <w:pStyle w:val="ListParagraph"/>
        <w:numPr>
          <w:ilvl w:val="0"/>
          <w:numId w:val="3"/>
        </w:numPr>
        <w:jc w:val="both"/>
        <w:rPr>
          <w:sz w:val="24"/>
          <w:szCs w:val="24"/>
        </w:rPr>
      </w:pPr>
      <w:r>
        <w:rPr>
          <w:sz w:val="24"/>
          <w:szCs w:val="24"/>
        </w:rPr>
        <w:t xml:space="preserve">для будівель висотою більше </w:t>
      </w:r>
      <w:smartTag w:uri="urn:schemas-microsoft-com:office:smarttags" w:element="metricconverter">
        <w:smartTagPr>
          <w:attr w:name="ProductID" w:val="200 м"/>
        </w:smartTagPr>
        <w:r>
          <w:rPr>
            <w:sz w:val="24"/>
            <w:szCs w:val="24"/>
          </w:rPr>
          <w:t>200 м</w:t>
        </w:r>
      </w:smartTag>
      <w:r>
        <w:rPr>
          <w:sz w:val="24"/>
          <w:szCs w:val="24"/>
        </w:rPr>
        <w:t xml:space="preserve"> – до </w:t>
      </w:r>
      <w:smartTag w:uri="urn:schemas-microsoft-com:office:smarttags" w:element="metricconverter">
        <w:smartTagPr>
          <w:attr w:name="ProductID" w:val="100 м2"/>
        </w:smartTagPr>
        <w:r>
          <w:rPr>
            <w:sz w:val="24"/>
            <w:szCs w:val="24"/>
          </w:rPr>
          <w:t>100 м</w:t>
        </w:r>
        <w:r w:rsidRPr="00FC74A2">
          <w:rPr>
            <w:sz w:val="24"/>
            <w:szCs w:val="24"/>
            <w:vertAlign w:val="superscript"/>
          </w:rPr>
          <w:t>2</w:t>
        </w:r>
      </w:smartTag>
      <w:r>
        <w:rPr>
          <w:sz w:val="24"/>
          <w:szCs w:val="24"/>
        </w:rPr>
        <w:t>;</w:t>
      </w:r>
    </w:p>
    <w:p w:rsidR="00963A7F" w:rsidRDefault="00963A7F" w:rsidP="00FC74A2">
      <w:pPr>
        <w:pStyle w:val="ListParagraph"/>
        <w:numPr>
          <w:ilvl w:val="0"/>
          <w:numId w:val="3"/>
        </w:numPr>
        <w:jc w:val="both"/>
        <w:rPr>
          <w:sz w:val="24"/>
          <w:szCs w:val="24"/>
        </w:rPr>
      </w:pPr>
      <w:r>
        <w:rPr>
          <w:sz w:val="24"/>
          <w:szCs w:val="24"/>
        </w:rPr>
        <w:t>для інших споруд – згідно завданняі на проектування в залежності від типу споруди.</w:t>
      </w:r>
    </w:p>
    <w:p w:rsidR="00963A7F" w:rsidRDefault="00963A7F" w:rsidP="004C7CDF">
      <w:pPr>
        <w:spacing w:after="0" w:line="240" w:lineRule="auto"/>
        <w:ind w:firstLine="567"/>
        <w:jc w:val="both"/>
        <w:rPr>
          <w:rFonts w:ascii="Times New Roman" w:hAnsi="Times New Roman"/>
          <w:sz w:val="24"/>
          <w:szCs w:val="24"/>
        </w:rPr>
      </w:pPr>
      <w:r w:rsidRPr="004C7CDF">
        <w:rPr>
          <w:rFonts w:ascii="Times New Roman" w:hAnsi="Times New Roman"/>
          <w:sz w:val="24"/>
          <w:szCs w:val="24"/>
        </w:rPr>
        <w:t>При розрахунках на прогресуюче обвалення площа локального руйнування (площа, з якої видаляються несучі конструктивні елементи) не повинна перевищувати допустиму площу, яка вказана вище.</w:t>
      </w:r>
    </w:p>
    <w:p w:rsidR="00963A7F" w:rsidRDefault="00963A7F" w:rsidP="004C7CDF">
      <w:pPr>
        <w:spacing w:after="0" w:line="240" w:lineRule="auto"/>
        <w:ind w:firstLine="567"/>
        <w:jc w:val="both"/>
        <w:rPr>
          <w:rFonts w:ascii="Times New Roman" w:hAnsi="Times New Roman"/>
          <w:sz w:val="24"/>
          <w:szCs w:val="24"/>
        </w:rPr>
      </w:pPr>
    </w:p>
    <w:p w:rsidR="00963A7F" w:rsidRPr="00311AC1" w:rsidRDefault="00963A7F" w:rsidP="00311AC1">
      <w:pPr>
        <w:pStyle w:val="ListParagraph"/>
        <w:ind w:left="0" w:firstLine="567"/>
        <w:jc w:val="both"/>
        <w:rPr>
          <w:sz w:val="24"/>
          <w:szCs w:val="24"/>
        </w:rPr>
      </w:pPr>
      <w:r w:rsidRPr="00311AC1">
        <w:rPr>
          <w:b/>
          <w:sz w:val="24"/>
          <w:szCs w:val="24"/>
        </w:rPr>
        <w:t>Дія особливих навантажень та екстремальні кліматичні впливи</w:t>
      </w:r>
      <w:r>
        <w:rPr>
          <w:b/>
        </w:rPr>
        <w:t xml:space="preserve">. </w:t>
      </w:r>
      <w:r w:rsidRPr="00311AC1">
        <w:rPr>
          <w:sz w:val="24"/>
          <w:szCs w:val="24"/>
        </w:rPr>
        <w:t>Дію аварійних особливих навантажень допускається не враховувати, якщо виконані всі наступні вимоги:</w:t>
      </w:r>
    </w:p>
    <w:p w:rsidR="00963A7F" w:rsidRDefault="00963A7F" w:rsidP="00311AC1">
      <w:pPr>
        <w:pStyle w:val="ListParagraph"/>
        <w:numPr>
          <w:ilvl w:val="0"/>
          <w:numId w:val="3"/>
        </w:numPr>
        <w:ind w:left="720" w:hanging="153"/>
        <w:jc w:val="both"/>
        <w:rPr>
          <w:sz w:val="24"/>
          <w:szCs w:val="24"/>
        </w:rPr>
      </w:pPr>
      <w:r>
        <w:rPr>
          <w:sz w:val="24"/>
          <w:szCs w:val="24"/>
        </w:rPr>
        <w:t>проведений розрахунок на дію проектних (нормованих) особливих впливів, вказаних в дійсній збірці правил, завданні на проектування та діючих нормативних документах;</w:t>
      </w:r>
    </w:p>
    <w:p w:rsidR="00963A7F" w:rsidRDefault="00963A7F" w:rsidP="00311AC1">
      <w:pPr>
        <w:pStyle w:val="ListParagraph"/>
        <w:numPr>
          <w:ilvl w:val="0"/>
          <w:numId w:val="3"/>
        </w:numPr>
        <w:ind w:left="720" w:hanging="153"/>
        <w:jc w:val="both"/>
        <w:rPr>
          <w:sz w:val="24"/>
          <w:szCs w:val="24"/>
        </w:rPr>
      </w:pPr>
      <w:r>
        <w:rPr>
          <w:sz w:val="24"/>
          <w:szCs w:val="24"/>
        </w:rPr>
        <w:t>введені додаткові коефіцієнти умови роботи, які знижують розрахунковий опір цих елементів та вузлів їх кріплення;</w:t>
      </w:r>
    </w:p>
    <w:p w:rsidR="00963A7F" w:rsidRDefault="00963A7F" w:rsidP="00311AC1">
      <w:pPr>
        <w:pStyle w:val="ListParagraph"/>
        <w:numPr>
          <w:ilvl w:val="0"/>
          <w:numId w:val="3"/>
        </w:numPr>
        <w:ind w:left="720" w:hanging="153"/>
        <w:jc w:val="both"/>
        <w:rPr>
          <w:sz w:val="24"/>
          <w:szCs w:val="24"/>
        </w:rPr>
      </w:pPr>
      <w:r>
        <w:rPr>
          <w:sz w:val="24"/>
          <w:szCs w:val="24"/>
        </w:rPr>
        <w:t>проведені організаційні заходи, згідно із збіркою правил, а також інші заходи, узгоджені із замовником.</w:t>
      </w:r>
    </w:p>
    <w:p w:rsidR="00963A7F" w:rsidRDefault="00963A7F" w:rsidP="000E48FE">
      <w:pPr>
        <w:spacing w:after="0" w:line="240" w:lineRule="auto"/>
        <w:ind w:firstLine="567"/>
        <w:jc w:val="both"/>
        <w:rPr>
          <w:rFonts w:ascii="Times New Roman" w:hAnsi="Times New Roman"/>
          <w:sz w:val="24"/>
          <w:szCs w:val="24"/>
        </w:rPr>
      </w:pPr>
      <w:r>
        <w:rPr>
          <w:rFonts w:ascii="Times New Roman" w:hAnsi="Times New Roman"/>
          <w:sz w:val="24"/>
          <w:szCs w:val="24"/>
        </w:rPr>
        <w:t xml:space="preserve">У документі також приділяється увага екстремальним кліматичним впливам, до яких віднесені екстремальні снігові навантаження, впливи вітру, ожеледні навантаження та екстремальні температурні кліматичні впливи. Розглядаються вибухові впливи та ударні навантаження </w:t>
      </w:r>
      <w:r w:rsidRPr="00A400AC">
        <w:rPr>
          <w:rFonts w:ascii="Times New Roman" w:hAnsi="Times New Roman"/>
          <w:sz w:val="24"/>
          <w:szCs w:val="24"/>
          <w:lang w:val="ru-RU"/>
        </w:rPr>
        <w:t>[2]</w:t>
      </w:r>
      <w:r>
        <w:rPr>
          <w:rFonts w:ascii="Times New Roman" w:hAnsi="Times New Roman"/>
          <w:sz w:val="24"/>
          <w:szCs w:val="24"/>
        </w:rPr>
        <w:t>.</w:t>
      </w:r>
    </w:p>
    <w:p w:rsidR="00963A7F" w:rsidRDefault="00963A7F" w:rsidP="000E48FE">
      <w:pPr>
        <w:spacing w:after="0" w:line="240" w:lineRule="auto"/>
        <w:ind w:firstLine="567"/>
        <w:jc w:val="both"/>
        <w:rPr>
          <w:rFonts w:ascii="Times New Roman" w:hAnsi="Times New Roman"/>
          <w:sz w:val="24"/>
          <w:szCs w:val="24"/>
        </w:rPr>
      </w:pPr>
      <w:r>
        <w:rPr>
          <w:rFonts w:ascii="Times New Roman" w:hAnsi="Times New Roman"/>
          <w:sz w:val="24"/>
          <w:szCs w:val="24"/>
        </w:rPr>
        <w:t>При розрахунку будівельних конструкцій на особливі сполучення навантажень необхідно враховувати наступні кліматичні впливи:</w:t>
      </w:r>
    </w:p>
    <w:p w:rsidR="00963A7F" w:rsidRDefault="00963A7F" w:rsidP="00EA1407">
      <w:pPr>
        <w:pStyle w:val="ListParagraph"/>
        <w:numPr>
          <w:ilvl w:val="0"/>
          <w:numId w:val="3"/>
        </w:numPr>
        <w:ind w:left="720"/>
        <w:jc w:val="both"/>
        <w:rPr>
          <w:sz w:val="24"/>
          <w:szCs w:val="24"/>
        </w:rPr>
      </w:pPr>
      <w:r>
        <w:rPr>
          <w:sz w:val="24"/>
          <w:szCs w:val="24"/>
        </w:rPr>
        <w:t>розрахункові екстремальні снігові, ожеледні навантаження та температурні кліматичні впливи:</w:t>
      </w:r>
    </w:p>
    <w:p w:rsidR="00963A7F" w:rsidRDefault="00963A7F" w:rsidP="00EA1407">
      <w:pPr>
        <w:pStyle w:val="ListParagraph"/>
        <w:numPr>
          <w:ilvl w:val="0"/>
          <w:numId w:val="3"/>
        </w:numPr>
        <w:ind w:left="720"/>
        <w:jc w:val="both"/>
        <w:rPr>
          <w:sz w:val="24"/>
          <w:szCs w:val="24"/>
        </w:rPr>
      </w:pPr>
      <w:r>
        <w:rPr>
          <w:sz w:val="24"/>
          <w:szCs w:val="24"/>
        </w:rPr>
        <w:t>особливі впливи, пов’язанні зі сповзанням снігу;</w:t>
      </w:r>
    </w:p>
    <w:p w:rsidR="00963A7F" w:rsidRPr="007A7F08" w:rsidRDefault="00963A7F" w:rsidP="00EA1407">
      <w:pPr>
        <w:pStyle w:val="ListParagraph"/>
        <w:numPr>
          <w:ilvl w:val="0"/>
          <w:numId w:val="3"/>
        </w:numPr>
        <w:ind w:left="720"/>
        <w:jc w:val="both"/>
        <w:rPr>
          <w:sz w:val="24"/>
          <w:szCs w:val="24"/>
        </w:rPr>
      </w:pPr>
      <w:r>
        <w:rPr>
          <w:sz w:val="24"/>
          <w:szCs w:val="24"/>
        </w:rPr>
        <w:t>вітрові впливи, котрі можуть створювати аеродинамічні нестійкі коливання.</w:t>
      </w:r>
    </w:p>
    <w:p w:rsidR="00963A7F" w:rsidRDefault="00963A7F" w:rsidP="000E48FE">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врахування екстремальних впливів, розрахункові значення котрих для окремих населених пунктів значно перевищують звичайні розрахункові значення, вводять додатковий коефіцієнт надійності для екстремальних впливів </w:t>
      </w:r>
      <w:r w:rsidRPr="004D2AD3">
        <w:rPr>
          <w:rFonts w:ascii="Times New Roman" w:hAnsi="Times New Roman"/>
          <w:sz w:val="24"/>
          <w:szCs w:val="24"/>
        </w:rPr>
        <w:fldChar w:fldCharType="begin"/>
      </w:r>
      <w:r w:rsidRPr="004D2AD3">
        <w:rPr>
          <w:rFonts w:ascii="Times New Roman" w:hAnsi="Times New Roman"/>
          <w:sz w:val="24"/>
          <w:szCs w:val="24"/>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E1D6E&quot;/&gt;&lt;wsp:rsid wsp:val=&quot;00001ECF&quot;/&gt;&lt;wsp:rsid wsp:val=&quot;00045C45&quot;/&gt;&lt;wsp:rsid wsp:val=&quot;000A1C37&quot;/&gt;&lt;wsp:rsid wsp:val=&quot;000B22D9&quot;/&gt;&lt;wsp:rsid wsp:val=&quot;000D4A06&quot;/&gt;&lt;wsp:rsid wsp:val=&quot;000E48FE&quot;/&gt;&lt;wsp:rsid wsp:val=&quot;000E4CAF&quot;/&gt;&lt;wsp:rsid wsp:val=&quot;00285D6B&quot;/&gt;&lt;wsp:rsid wsp:val=&quot;002F3507&quot;/&gt;&lt;wsp:rsid wsp:val=&quot;00320E17&quot;/&gt;&lt;wsp:rsid wsp:val=&quot;003543FF&quot;/&gt;&lt;wsp:rsid wsp:val=&quot;004C7CDF&quot;/&gt;&lt;wsp:rsid wsp:val=&quot;00500D24&quot;/&gt;&lt;wsp:rsid wsp:val=&quot;00500EA3&quot;/&gt;&lt;wsp:rsid wsp:val=&quot;005860E2&quot;/&gt;&lt;wsp:rsid wsp:val=&quot;006A1CEA&quot;/&gt;&lt;wsp:rsid wsp:val=&quot;007A7F08&quot;/&gt;&lt;wsp:rsid wsp:val=&quot;007D5B8F&quot;/&gt;&lt;wsp:rsid wsp:val=&quot;00864764&quot;/&gt;&lt;wsp:rsid wsp:val=&quot;008F3A33&quot;/&gt;&lt;wsp:rsid wsp:val=&quot;00A400AC&quot;/&gt;&lt;wsp:rsid wsp:val=&quot;00A81D40&quot;/&gt;&lt;wsp:rsid wsp:val=&quot;00BA2337&quot;/&gt;&lt;wsp:rsid wsp:val=&quot;00C939B7&quot;/&gt;&lt;wsp:rsid wsp:val=&quot;00CB66F7&quot;/&gt;&lt;wsp:rsid wsp:val=&quot;00CE1D6E&quot;/&gt;&lt;wsp:rsid wsp:val=&quot;00DE7F5E&quot;/&gt;&lt;wsp:rsid wsp:val=&quot;00E46E2F&quot;/&gt;&lt;wsp:rsid wsp:val=&quot;00FC555D&quot;/&gt;&lt;wsp:rsid wsp:val=&quot;00FC74A2&quot;/&gt;&lt;/wsp:rsids&gt;&lt;/w:docPr&gt;&lt;w:body&gt;&lt;w:p wsp:rsidR=&quot;00000000&quot; wsp:rsidRDefault=&quot;008F3A33&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Оі&lt;/m:t&gt;&lt;/m:r&gt;&lt;/m:e&gt;&lt;m:sub&gt;&lt;m:r&gt;&lt;w:rPr&gt;&lt;w:rFonts w:ascii=&quot;Cambria Math&quot; w:h-ansi=&quot;Cambria Math&quot;/&gt;&lt;wx:font wx:val=&quot;Cambria Math&quot;/&gt;&lt;w:i/&gt;&lt;w:sz w:val=&quot;24&quot;/&gt;&lt;w:sz-cs w:val=&quot;24&quot;/&gt;&lt;w:lang w:val=&quot;EN-US&quot;/&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D2AD3">
        <w:rPr>
          <w:rFonts w:ascii="Times New Roman" w:hAnsi="Times New Roman"/>
          <w:sz w:val="24"/>
          <w:szCs w:val="24"/>
        </w:rPr>
        <w:instrText xml:space="preserve"> </w:instrText>
      </w:r>
      <w:r w:rsidRPr="004D2AD3">
        <w:rPr>
          <w:rFonts w:ascii="Times New Roman" w:hAnsi="Times New Roman"/>
          <w:sz w:val="24"/>
          <w:szCs w:val="24"/>
        </w:rPr>
        <w:fldChar w:fldCharType="separate"/>
      </w:r>
      <w:r>
        <w:pict>
          <v:shape id="_x0000_i1026" type="#_x0000_t75" style="width:13.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E1D6E&quot;/&gt;&lt;wsp:rsid wsp:val=&quot;00001ECF&quot;/&gt;&lt;wsp:rsid wsp:val=&quot;00045C45&quot;/&gt;&lt;wsp:rsid wsp:val=&quot;000A1C37&quot;/&gt;&lt;wsp:rsid wsp:val=&quot;000B22D9&quot;/&gt;&lt;wsp:rsid wsp:val=&quot;000D4A06&quot;/&gt;&lt;wsp:rsid wsp:val=&quot;000E48FE&quot;/&gt;&lt;wsp:rsid wsp:val=&quot;000E4CAF&quot;/&gt;&lt;wsp:rsid wsp:val=&quot;00285D6B&quot;/&gt;&lt;wsp:rsid wsp:val=&quot;002F3507&quot;/&gt;&lt;wsp:rsid wsp:val=&quot;00320E17&quot;/&gt;&lt;wsp:rsid wsp:val=&quot;003543FF&quot;/&gt;&lt;wsp:rsid wsp:val=&quot;004C7CDF&quot;/&gt;&lt;wsp:rsid wsp:val=&quot;00500D24&quot;/&gt;&lt;wsp:rsid wsp:val=&quot;00500EA3&quot;/&gt;&lt;wsp:rsid wsp:val=&quot;005860E2&quot;/&gt;&lt;wsp:rsid wsp:val=&quot;006A1CEA&quot;/&gt;&lt;wsp:rsid wsp:val=&quot;007A7F08&quot;/&gt;&lt;wsp:rsid wsp:val=&quot;007D5B8F&quot;/&gt;&lt;wsp:rsid wsp:val=&quot;00864764&quot;/&gt;&lt;wsp:rsid wsp:val=&quot;008F3A33&quot;/&gt;&lt;wsp:rsid wsp:val=&quot;00A400AC&quot;/&gt;&lt;wsp:rsid wsp:val=&quot;00A81D40&quot;/&gt;&lt;wsp:rsid wsp:val=&quot;00BA2337&quot;/&gt;&lt;wsp:rsid wsp:val=&quot;00C939B7&quot;/&gt;&lt;wsp:rsid wsp:val=&quot;00CB66F7&quot;/&gt;&lt;wsp:rsid wsp:val=&quot;00CE1D6E&quot;/&gt;&lt;wsp:rsid wsp:val=&quot;00DE7F5E&quot;/&gt;&lt;wsp:rsid wsp:val=&quot;00E46E2F&quot;/&gt;&lt;wsp:rsid wsp:val=&quot;00FC555D&quot;/&gt;&lt;wsp:rsid wsp:val=&quot;00FC74A2&quot;/&gt;&lt;/wsp:rsids&gt;&lt;/w:docPr&gt;&lt;w:body&gt;&lt;w:p wsp:rsidR=&quot;00000000&quot; wsp:rsidRDefault=&quot;008F3A33&quot;&gt;&lt;m:oMathPara&gt;&lt;m:oMath&gt;&lt;m:sSub&gt;&lt;m:sSubPr&gt;&lt;m:ctrlPr&gt;&lt;w:rPr&gt;&lt;w:rFonts w:ascii=&quot;Cambria Math&quot; w:h-ansi=&quot;Cambria Math&quot;/&gt;&lt;wx:font wx:val=&quot;Cambria Math&quot;/&gt;&lt;w:i/&gt;&lt;w:sz w:val=&quot;24&quot;/&gt;&lt;w:sz-cs w:val=&quot;24&quot;/&gt;&lt;/w:rPr&gt;&lt;/m:ctrlPr&gt;&lt;/m:sSubPr&gt;&lt;m:e&gt;&lt;m:r&gt;&lt;w:rPr&gt;&lt;w:rFonts w:ascii=&quot;Cambria Math&quot; w:h-ansi=&quot;Cambria Math&quot;/&gt;&lt;wx:font wx:val=&quot;Cambria Math&quot;/&gt;&lt;w:i/&gt;&lt;w:sz w:val=&quot;24&quot;/&gt;&lt;w:sz-cs w:val=&quot;24&quot;/&gt;&lt;/w:rPr&gt;&lt;m:t&gt;Оі&lt;/m:t&gt;&lt;/m:r&gt;&lt;/m:e&gt;&lt;m:sub&gt;&lt;m:r&gt;&lt;w:rPr&gt;&lt;w:rFonts w:ascii=&quot;Cambria Math&quot; w:h-ansi=&quot;Cambria Math&quot;/&gt;&lt;wx:font wx:val=&quot;Cambria Math&quot;/&gt;&lt;w:i/&gt;&lt;w:sz w:val=&quot;24&quot;/&gt;&lt;w:sz-cs w:val=&quot;24&quot;/&gt;&lt;w:lang w:val=&quot;EN-US&quot;/&gt;&lt;/w:rPr&gt;&lt;m:t&gt;a&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D2AD3">
        <w:rPr>
          <w:rFonts w:ascii="Times New Roman" w:hAnsi="Times New Roman"/>
          <w:sz w:val="24"/>
          <w:szCs w:val="24"/>
        </w:rPr>
        <w:fldChar w:fldCharType="end"/>
      </w:r>
      <w:r>
        <w:rPr>
          <w:rFonts w:ascii="Times New Roman" w:hAnsi="Times New Roman"/>
          <w:sz w:val="24"/>
          <w:szCs w:val="24"/>
        </w:rPr>
        <w:t xml:space="preserve">. </w:t>
      </w:r>
    </w:p>
    <w:p w:rsidR="00963A7F" w:rsidRDefault="00963A7F" w:rsidP="000E48FE">
      <w:pPr>
        <w:spacing w:after="0" w:line="240" w:lineRule="auto"/>
        <w:ind w:firstLine="567"/>
        <w:jc w:val="both"/>
        <w:rPr>
          <w:rFonts w:ascii="Times New Roman" w:hAnsi="Times New Roman"/>
          <w:sz w:val="24"/>
          <w:szCs w:val="24"/>
        </w:rPr>
      </w:pPr>
    </w:p>
    <w:p w:rsidR="00963A7F" w:rsidRPr="00EA1407" w:rsidRDefault="00963A7F" w:rsidP="00EA1407">
      <w:pPr>
        <w:pStyle w:val="ListParagraph"/>
        <w:ind w:left="0" w:firstLine="720"/>
        <w:jc w:val="both"/>
        <w:rPr>
          <w:sz w:val="24"/>
          <w:szCs w:val="24"/>
        </w:rPr>
      </w:pPr>
      <w:r w:rsidRPr="00EA1407">
        <w:rPr>
          <w:b/>
          <w:sz w:val="24"/>
          <w:szCs w:val="24"/>
        </w:rPr>
        <w:t xml:space="preserve">Ударні навантаження. </w:t>
      </w:r>
      <w:r w:rsidRPr="00EA1407">
        <w:rPr>
          <w:sz w:val="24"/>
          <w:szCs w:val="24"/>
        </w:rPr>
        <w:t xml:space="preserve">З приводу </w:t>
      </w:r>
      <w:r>
        <w:rPr>
          <w:sz w:val="24"/>
          <w:szCs w:val="24"/>
        </w:rPr>
        <w:t>цих</w:t>
      </w:r>
      <w:r w:rsidRPr="00EA1407">
        <w:rPr>
          <w:sz w:val="24"/>
          <w:szCs w:val="24"/>
        </w:rPr>
        <w:t xml:space="preserve"> навантажень зазначено, що при проектуванн</w:t>
      </w:r>
      <w:r>
        <w:rPr>
          <w:sz w:val="24"/>
          <w:szCs w:val="24"/>
        </w:rPr>
        <w:t>і</w:t>
      </w:r>
      <w:r w:rsidRPr="00EA1407">
        <w:rPr>
          <w:sz w:val="24"/>
          <w:szCs w:val="24"/>
        </w:rPr>
        <w:t xml:space="preserve"> будівель необхідно враховувати їх дію у комбінації із іншими особливими впливами, наприклад</w:t>
      </w:r>
      <w:r>
        <w:rPr>
          <w:sz w:val="24"/>
          <w:szCs w:val="24"/>
        </w:rPr>
        <w:t>,</w:t>
      </w:r>
      <w:r w:rsidRPr="00EA1407">
        <w:rPr>
          <w:sz w:val="24"/>
          <w:szCs w:val="24"/>
        </w:rPr>
        <w:t xml:space="preserve"> зіткнення паливозаправочного транспортного засобу із опорною конструкцією моста та </w:t>
      </w:r>
      <w:r>
        <w:rPr>
          <w:sz w:val="24"/>
          <w:szCs w:val="24"/>
        </w:rPr>
        <w:t>наступна</w:t>
      </w:r>
      <w:r w:rsidRPr="00EA1407">
        <w:rPr>
          <w:sz w:val="24"/>
          <w:szCs w:val="24"/>
        </w:rPr>
        <w:t xml:space="preserve"> за цим пожежа.</w:t>
      </w:r>
    </w:p>
    <w:p w:rsidR="00963A7F" w:rsidRDefault="00963A7F" w:rsidP="000E48FE">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Розрахунок на ударні впливи від автотранспортних засобів необхідно проводити для пролітних споруд мостів із підмостовим габаритом менш ніж </w:t>
      </w:r>
      <w:smartTag w:uri="urn:schemas-microsoft-com:office:smarttags" w:element="metricconverter">
        <w:smartTagPr>
          <w:attr w:name="ProductID" w:val="6 м"/>
        </w:smartTagPr>
        <w:r>
          <w:rPr>
            <w:rFonts w:ascii="Times New Roman" w:hAnsi="Times New Roman"/>
            <w:sz w:val="24"/>
            <w:szCs w:val="24"/>
          </w:rPr>
          <w:t>6 м</w:t>
        </w:r>
      </w:smartTag>
      <w:r>
        <w:rPr>
          <w:rFonts w:ascii="Times New Roman" w:hAnsi="Times New Roman"/>
          <w:sz w:val="24"/>
          <w:szCs w:val="24"/>
        </w:rPr>
        <w:t>, а також для поміжних стоїчних опор.</w:t>
      </w:r>
    </w:p>
    <w:p w:rsidR="00963A7F" w:rsidRDefault="00963A7F" w:rsidP="000E48FE">
      <w:pPr>
        <w:spacing w:after="0" w:line="240" w:lineRule="auto"/>
        <w:ind w:firstLine="567"/>
        <w:jc w:val="both"/>
        <w:rPr>
          <w:rFonts w:ascii="Times New Roman" w:hAnsi="Times New Roman"/>
          <w:sz w:val="24"/>
          <w:szCs w:val="24"/>
        </w:rPr>
      </w:pPr>
      <w:r>
        <w:rPr>
          <w:rFonts w:ascii="Times New Roman" w:hAnsi="Times New Roman"/>
          <w:sz w:val="24"/>
          <w:szCs w:val="24"/>
        </w:rPr>
        <w:t>Для випадків, коли можливий співудар автотранспортного засобу із опорними конструкціями або фасадами будівель, розрахункові значення еквівалентних квазістатичних навантажень необхідно приймати за таблицею 1</w:t>
      </w:r>
      <w:r w:rsidRPr="00A400AC">
        <w:rPr>
          <w:rFonts w:ascii="Times New Roman" w:hAnsi="Times New Roman"/>
          <w:sz w:val="24"/>
          <w:szCs w:val="24"/>
          <w:lang w:val="ru-RU"/>
        </w:rPr>
        <w:t xml:space="preserve"> [2]</w:t>
      </w:r>
      <w:r>
        <w:rPr>
          <w:rFonts w:ascii="Times New Roman" w:hAnsi="Times New Roman"/>
          <w:sz w:val="24"/>
          <w:szCs w:val="24"/>
        </w:rPr>
        <w:t>.</w:t>
      </w:r>
    </w:p>
    <w:p w:rsidR="00963A7F" w:rsidRDefault="00963A7F" w:rsidP="000E48FE">
      <w:pPr>
        <w:spacing w:after="0" w:line="240" w:lineRule="auto"/>
        <w:ind w:firstLine="567"/>
        <w:jc w:val="both"/>
        <w:rPr>
          <w:rFonts w:ascii="Times New Roman" w:hAnsi="Times New Roman"/>
          <w:sz w:val="24"/>
          <w:szCs w:val="24"/>
        </w:rPr>
      </w:pPr>
    </w:p>
    <w:p w:rsidR="00963A7F" w:rsidRDefault="00963A7F" w:rsidP="00EA1407">
      <w:pPr>
        <w:spacing w:after="0" w:line="240" w:lineRule="auto"/>
        <w:ind w:firstLine="6237"/>
        <w:jc w:val="right"/>
        <w:rPr>
          <w:rFonts w:ascii="Times New Roman" w:hAnsi="Times New Roman"/>
          <w:sz w:val="24"/>
          <w:szCs w:val="24"/>
        </w:rPr>
      </w:pPr>
      <w:r>
        <w:rPr>
          <w:rFonts w:ascii="Times New Roman" w:hAnsi="Times New Roman"/>
          <w:sz w:val="24"/>
          <w:szCs w:val="24"/>
        </w:rPr>
        <w:t>Таблиця 1</w:t>
      </w:r>
    </w:p>
    <w:p w:rsidR="00963A7F" w:rsidRDefault="00963A7F" w:rsidP="00EA1407">
      <w:pPr>
        <w:spacing w:after="0" w:line="240" w:lineRule="auto"/>
        <w:ind w:firstLine="567"/>
        <w:jc w:val="center"/>
        <w:rPr>
          <w:rFonts w:ascii="Times New Roman" w:hAnsi="Times New Roman"/>
          <w:sz w:val="24"/>
          <w:szCs w:val="24"/>
        </w:rPr>
      </w:pPr>
      <w:r>
        <w:rPr>
          <w:rFonts w:ascii="Times New Roman" w:hAnsi="Times New Roman"/>
          <w:sz w:val="24"/>
          <w:szCs w:val="24"/>
        </w:rPr>
        <w:t>Розрахункові значення еквівалентних квазістатичних навантажень, при можливості співудару автотранспортних засобів з опорними конструкціями або фасадами будівель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5"/>
        <w:gridCol w:w="3096"/>
      </w:tblGrid>
      <w:tr w:rsidR="00963A7F" w:rsidRPr="004D2AD3" w:rsidTr="00EA1407">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Категорія дороги за ГОСТ Р 52398</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 xml:space="preserve">Зосереджене навантаження </w:t>
            </w:r>
            <w:r w:rsidRPr="004D2AD3">
              <w:rPr>
                <w:rFonts w:ascii="Times New Roman" w:hAnsi="Times New Roman"/>
                <w:i/>
                <w:sz w:val="24"/>
                <w:szCs w:val="24"/>
                <w:lang w:val="en-US"/>
              </w:rPr>
              <w:t>F</w:t>
            </w:r>
            <w:r w:rsidRPr="004D2AD3">
              <w:rPr>
                <w:rFonts w:ascii="Times New Roman" w:hAnsi="Times New Roman"/>
                <w:i/>
                <w:sz w:val="24"/>
                <w:szCs w:val="24"/>
                <w:vertAlign w:val="subscript"/>
                <w:lang w:val="en-US"/>
              </w:rPr>
              <w:t>vx</w:t>
            </w:r>
            <w:r w:rsidRPr="004D2AD3">
              <w:rPr>
                <w:rFonts w:ascii="Times New Roman" w:hAnsi="Times New Roman"/>
                <w:sz w:val="24"/>
                <w:szCs w:val="24"/>
                <w:lang w:val="ru-RU"/>
              </w:rPr>
              <w:t xml:space="preserve">, </w:t>
            </w:r>
            <w:r w:rsidRPr="004D2AD3">
              <w:rPr>
                <w:rFonts w:ascii="Times New Roman" w:hAnsi="Times New Roman"/>
                <w:sz w:val="24"/>
                <w:szCs w:val="24"/>
              </w:rPr>
              <w:t>кН (в напрямку руху)</w:t>
            </w:r>
          </w:p>
        </w:tc>
        <w:tc>
          <w:tcPr>
            <w:tcW w:w="3096" w:type="dxa"/>
          </w:tcPr>
          <w:p w:rsidR="00963A7F" w:rsidRPr="004D2AD3" w:rsidRDefault="00963A7F" w:rsidP="004D2AD3">
            <w:pPr>
              <w:spacing w:after="0" w:line="240" w:lineRule="auto"/>
              <w:jc w:val="both"/>
              <w:rPr>
                <w:rFonts w:ascii="Times New Roman" w:hAnsi="Times New Roman"/>
                <w:sz w:val="24"/>
                <w:szCs w:val="24"/>
              </w:rPr>
            </w:pPr>
            <w:r w:rsidRPr="004D2AD3">
              <w:rPr>
                <w:rFonts w:ascii="Times New Roman" w:hAnsi="Times New Roman"/>
                <w:sz w:val="24"/>
                <w:szCs w:val="24"/>
              </w:rPr>
              <w:t xml:space="preserve">Зосереджене навантаження </w:t>
            </w:r>
            <w:r w:rsidRPr="004D2AD3">
              <w:rPr>
                <w:rFonts w:ascii="Times New Roman" w:hAnsi="Times New Roman"/>
                <w:i/>
                <w:sz w:val="24"/>
                <w:szCs w:val="24"/>
                <w:lang w:val="en-US"/>
              </w:rPr>
              <w:t>F</w:t>
            </w:r>
            <w:r w:rsidRPr="004D2AD3">
              <w:rPr>
                <w:rFonts w:ascii="Times New Roman" w:hAnsi="Times New Roman"/>
                <w:i/>
                <w:sz w:val="24"/>
                <w:szCs w:val="24"/>
                <w:vertAlign w:val="subscript"/>
                <w:lang w:val="en-US"/>
              </w:rPr>
              <w:t>vy</w:t>
            </w:r>
            <w:r w:rsidRPr="004D2AD3">
              <w:rPr>
                <w:rFonts w:ascii="Times New Roman" w:hAnsi="Times New Roman"/>
                <w:sz w:val="24"/>
                <w:szCs w:val="24"/>
                <w:lang w:val="ru-RU"/>
              </w:rPr>
              <w:t xml:space="preserve">, </w:t>
            </w:r>
            <w:r w:rsidRPr="004D2AD3">
              <w:rPr>
                <w:rFonts w:ascii="Times New Roman" w:hAnsi="Times New Roman"/>
                <w:sz w:val="24"/>
                <w:szCs w:val="24"/>
              </w:rPr>
              <w:t>кН (перпендикулярно напрямку руху)</w:t>
            </w:r>
          </w:p>
        </w:tc>
      </w:tr>
      <w:tr w:rsidR="00963A7F" w:rsidRPr="004D2AD3" w:rsidTr="00EA1407">
        <w:tc>
          <w:tcPr>
            <w:tcW w:w="3095" w:type="dxa"/>
          </w:tcPr>
          <w:p w:rsidR="00963A7F" w:rsidRPr="004D2AD3" w:rsidRDefault="00963A7F" w:rsidP="004D2AD3">
            <w:pPr>
              <w:spacing w:after="0" w:line="240" w:lineRule="auto"/>
              <w:jc w:val="both"/>
              <w:rPr>
                <w:rFonts w:ascii="Times New Roman" w:hAnsi="Times New Roman"/>
                <w:sz w:val="24"/>
                <w:szCs w:val="24"/>
              </w:rPr>
            </w:pPr>
            <w:r w:rsidRPr="004D2AD3">
              <w:rPr>
                <w:rFonts w:ascii="Times New Roman" w:hAnsi="Times New Roman"/>
                <w:sz w:val="24"/>
                <w:szCs w:val="24"/>
              </w:rPr>
              <w:t>Автомагістралі та швидкісні автомобільні дороги категорій ІА та ІБ</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1000</w:t>
            </w:r>
          </w:p>
        </w:tc>
        <w:tc>
          <w:tcPr>
            <w:tcW w:w="3096"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500</w:t>
            </w:r>
          </w:p>
        </w:tc>
      </w:tr>
      <w:tr w:rsidR="00963A7F" w:rsidRPr="004D2AD3" w:rsidTr="00EA1407">
        <w:tc>
          <w:tcPr>
            <w:tcW w:w="3095" w:type="dxa"/>
          </w:tcPr>
          <w:p w:rsidR="00963A7F" w:rsidRPr="004D2AD3" w:rsidRDefault="00963A7F" w:rsidP="004D2AD3">
            <w:pPr>
              <w:spacing w:after="0" w:line="240" w:lineRule="auto"/>
              <w:jc w:val="both"/>
              <w:rPr>
                <w:rFonts w:ascii="Times New Roman" w:hAnsi="Times New Roman"/>
                <w:sz w:val="24"/>
                <w:szCs w:val="24"/>
              </w:rPr>
            </w:pPr>
            <w:r w:rsidRPr="004D2AD3">
              <w:rPr>
                <w:rFonts w:ascii="Times New Roman" w:hAnsi="Times New Roman"/>
                <w:sz w:val="24"/>
                <w:szCs w:val="24"/>
              </w:rPr>
              <w:t>Звичайні автомобільні дороги категорій ІВ, ІІ</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750</w:t>
            </w:r>
          </w:p>
        </w:tc>
        <w:tc>
          <w:tcPr>
            <w:tcW w:w="3096"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375</w:t>
            </w:r>
          </w:p>
        </w:tc>
      </w:tr>
      <w:tr w:rsidR="00963A7F" w:rsidRPr="004D2AD3" w:rsidTr="00EA1407">
        <w:tc>
          <w:tcPr>
            <w:tcW w:w="3095" w:type="dxa"/>
          </w:tcPr>
          <w:p w:rsidR="00963A7F" w:rsidRPr="004D2AD3" w:rsidRDefault="00963A7F" w:rsidP="004D2AD3">
            <w:pPr>
              <w:spacing w:after="0" w:line="240" w:lineRule="auto"/>
              <w:jc w:val="both"/>
              <w:rPr>
                <w:rFonts w:ascii="Times New Roman" w:hAnsi="Times New Roman"/>
                <w:sz w:val="24"/>
                <w:szCs w:val="24"/>
                <w:lang w:val="ru-RU"/>
              </w:rPr>
            </w:pPr>
            <w:r w:rsidRPr="004D2AD3">
              <w:rPr>
                <w:rFonts w:ascii="Times New Roman" w:hAnsi="Times New Roman"/>
                <w:sz w:val="24"/>
                <w:szCs w:val="24"/>
              </w:rPr>
              <w:t>Звичайні автомобільні дороги категорій ІІІ-</w:t>
            </w:r>
            <w:r w:rsidRPr="004D2AD3">
              <w:rPr>
                <w:rFonts w:ascii="Times New Roman" w:hAnsi="Times New Roman"/>
                <w:sz w:val="24"/>
                <w:szCs w:val="24"/>
                <w:lang w:val="en-US"/>
              </w:rPr>
              <w:t>V</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500</w:t>
            </w:r>
          </w:p>
        </w:tc>
        <w:tc>
          <w:tcPr>
            <w:tcW w:w="3096"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250</w:t>
            </w:r>
          </w:p>
        </w:tc>
      </w:tr>
      <w:tr w:rsidR="00963A7F" w:rsidRPr="004D2AD3" w:rsidTr="00EA1407">
        <w:tc>
          <w:tcPr>
            <w:tcW w:w="3095" w:type="dxa"/>
          </w:tcPr>
          <w:p w:rsidR="00963A7F" w:rsidRPr="004D2AD3" w:rsidRDefault="00963A7F" w:rsidP="004D2AD3">
            <w:pPr>
              <w:spacing w:after="0" w:line="240" w:lineRule="auto"/>
              <w:jc w:val="both"/>
              <w:rPr>
                <w:rFonts w:ascii="Times New Roman" w:hAnsi="Times New Roman"/>
                <w:sz w:val="24"/>
                <w:szCs w:val="24"/>
              </w:rPr>
            </w:pPr>
            <w:r w:rsidRPr="004D2AD3">
              <w:rPr>
                <w:rFonts w:ascii="Times New Roman" w:hAnsi="Times New Roman"/>
                <w:sz w:val="24"/>
                <w:szCs w:val="24"/>
              </w:rPr>
              <w:t>Дворові території та гаражі з рухом:</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p>
        </w:tc>
        <w:tc>
          <w:tcPr>
            <w:tcW w:w="3096" w:type="dxa"/>
            <w:vAlign w:val="center"/>
          </w:tcPr>
          <w:p w:rsidR="00963A7F" w:rsidRPr="004D2AD3" w:rsidRDefault="00963A7F" w:rsidP="00EA1407">
            <w:pPr>
              <w:spacing w:after="0" w:line="240" w:lineRule="auto"/>
              <w:jc w:val="center"/>
              <w:rPr>
                <w:rFonts w:ascii="Times New Roman" w:hAnsi="Times New Roman"/>
                <w:sz w:val="24"/>
                <w:szCs w:val="24"/>
              </w:rPr>
            </w:pPr>
          </w:p>
        </w:tc>
      </w:tr>
      <w:tr w:rsidR="00963A7F" w:rsidRPr="004D2AD3" w:rsidTr="00EA1407">
        <w:tc>
          <w:tcPr>
            <w:tcW w:w="3095" w:type="dxa"/>
          </w:tcPr>
          <w:p w:rsidR="00963A7F" w:rsidRPr="004D2AD3" w:rsidRDefault="00963A7F" w:rsidP="004D2AD3">
            <w:pPr>
              <w:spacing w:after="0" w:line="240" w:lineRule="auto"/>
              <w:jc w:val="both"/>
              <w:rPr>
                <w:rFonts w:ascii="Times New Roman" w:hAnsi="Times New Roman"/>
                <w:sz w:val="24"/>
                <w:szCs w:val="24"/>
              </w:rPr>
            </w:pPr>
            <w:r w:rsidRPr="004D2AD3">
              <w:rPr>
                <w:rFonts w:ascii="Times New Roman" w:hAnsi="Times New Roman"/>
                <w:sz w:val="24"/>
                <w:szCs w:val="24"/>
              </w:rPr>
              <w:t>Легкових автомобілів</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50</w:t>
            </w:r>
          </w:p>
        </w:tc>
        <w:tc>
          <w:tcPr>
            <w:tcW w:w="3096"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25</w:t>
            </w:r>
          </w:p>
        </w:tc>
      </w:tr>
      <w:tr w:rsidR="00963A7F" w:rsidRPr="004D2AD3" w:rsidTr="00EA1407">
        <w:tc>
          <w:tcPr>
            <w:tcW w:w="3095" w:type="dxa"/>
          </w:tcPr>
          <w:p w:rsidR="00963A7F" w:rsidRPr="004D2AD3" w:rsidRDefault="00963A7F" w:rsidP="004D2AD3">
            <w:pPr>
              <w:spacing w:after="0" w:line="240" w:lineRule="auto"/>
              <w:jc w:val="both"/>
              <w:rPr>
                <w:rFonts w:ascii="Times New Roman" w:hAnsi="Times New Roman"/>
                <w:sz w:val="24"/>
                <w:szCs w:val="24"/>
              </w:rPr>
            </w:pPr>
            <w:r w:rsidRPr="004D2AD3">
              <w:rPr>
                <w:rFonts w:ascii="Times New Roman" w:hAnsi="Times New Roman"/>
                <w:sz w:val="24"/>
                <w:szCs w:val="24"/>
              </w:rPr>
              <w:t>Вантажних автомобілів (із загальною масою більше 3,5 т)</w:t>
            </w:r>
          </w:p>
        </w:tc>
        <w:tc>
          <w:tcPr>
            <w:tcW w:w="3095"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150</w:t>
            </w:r>
          </w:p>
        </w:tc>
        <w:tc>
          <w:tcPr>
            <w:tcW w:w="3096" w:type="dxa"/>
            <w:vAlign w:val="center"/>
          </w:tcPr>
          <w:p w:rsidR="00963A7F" w:rsidRPr="004D2AD3" w:rsidRDefault="00963A7F" w:rsidP="00EA1407">
            <w:pPr>
              <w:spacing w:after="0" w:line="240" w:lineRule="auto"/>
              <w:jc w:val="center"/>
              <w:rPr>
                <w:rFonts w:ascii="Times New Roman" w:hAnsi="Times New Roman"/>
                <w:sz w:val="24"/>
                <w:szCs w:val="24"/>
              </w:rPr>
            </w:pPr>
            <w:r w:rsidRPr="004D2AD3">
              <w:rPr>
                <w:rFonts w:ascii="Times New Roman" w:hAnsi="Times New Roman"/>
                <w:sz w:val="24"/>
                <w:szCs w:val="24"/>
              </w:rPr>
              <w:t>75</w:t>
            </w:r>
          </w:p>
        </w:tc>
      </w:tr>
    </w:tbl>
    <w:p w:rsidR="00963A7F" w:rsidRDefault="00963A7F" w:rsidP="000E48FE">
      <w:pPr>
        <w:spacing w:after="0" w:line="240" w:lineRule="auto"/>
        <w:ind w:firstLine="567"/>
        <w:jc w:val="both"/>
        <w:rPr>
          <w:rFonts w:ascii="Times New Roman" w:hAnsi="Times New Roman"/>
          <w:sz w:val="24"/>
          <w:szCs w:val="24"/>
        </w:rPr>
      </w:pPr>
      <w:r>
        <w:rPr>
          <w:rFonts w:ascii="Times New Roman" w:hAnsi="Times New Roman"/>
          <w:sz w:val="24"/>
          <w:szCs w:val="24"/>
        </w:rPr>
        <w:t>У правилах проектування також зазначається, що п</w:t>
      </w:r>
      <w:r w:rsidRPr="000D4A06">
        <w:rPr>
          <w:rFonts w:ascii="Times New Roman" w:hAnsi="Times New Roman"/>
          <w:sz w:val="24"/>
          <w:szCs w:val="24"/>
        </w:rPr>
        <w:t>ри локальному руйнуванні необхідно забезпечити несучу здатність як конструктивної системи споруди в цілому, так і прилеглих до локального руйнування конструктивних елементів. На вимогу замовника в завданні на проектування (на додаток до необхідних вимог по несучої здатності) можуть бути встановлені додаткові вимоги щодо забезпечення тріщиностійкості і деформативності конструкцій споруди при локальному руйнуванні</w:t>
      </w:r>
      <w:r w:rsidRPr="00A81D40">
        <w:rPr>
          <w:rFonts w:ascii="Times New Roman" w:hAnsi="Times New Roman"/>
          <w:sz w:val="24"/>
          <w:szCs w:val="24"/>
          <w:lang w:val="ru-RU"/>
        </w:rPr>
        <w:t xml:space="preserve"> [3]</w:t>
      </w:r>
      <w:r w:rsidRPr="000D4A06">
        <w:rPr>
          <w:rFonts w:ascii="Times New Roman" w:hAnsi="Times New Roman"/>
          <w:sz w:val="24"/>
          <w:szCs w:val="24"/>
        </w:rPr>
        <w:t>.</w:t>
      </w:r>
    </w:p>
    <w:p w:rsidR="00963A7F" w:rsidRDefault="00963A7F" w:rsidP="000E48FE">
      <w:pPr>
        <w:spacing w:after="0" w:line="240" w:lineRule="auto"/>
        <w:ind w:firstLine="567"/>
        <w:jc w:val="both"/>
        <w:rPr>
          <w:rFonts w:ascii="Times New Roman" w:hAnsi="Times New Roman"/>
          <w:sz w:val="24"/>
          <w:szCs w:val="24"/>
        </w:rPr>
      </w:pPr>
    </w:p>
    <w:p w:rsidR="00963A7F" w:rsidRPr="00513D65" w:rsidRDefault="00963A7F" w:rsidP="00513D65">
      <w:pPr>
        <w:pStyle w:val="ListParagraph"/>
        <w:ind w:left="0" w:firstLine="567"/>
        <w:jc w:val="both"/>
        <w:rPr>
          <w:sz w:val="24"/>
          <w:szCs w:val="24"/>
        </w:rPr>
      </w:pPr>
      <w:r w:rsidRPr="00513D65">
        <w:rPr>
          <w:b/>
          <w:sz w:val="24"/>
          <w:szCs w:val="24"/>
        </w:rPr>
        <w:t xml:space="preserve">Розрахунок споруди на стійкість проти прогресуючого руйнування. </w:t>
      </w:r>
      <w:r w:rsidRPr="00513D65">
        <w:rPr>
          <w:sz w:val="24"/>
          <w:szCs w:val="24"/>
        </w:rPr>
        <w:t>Зусилля в конструктивних елементах і їх з'єднаннях отримані на підставі проведеного розрахунку при локальному руйнуванні, необхідно порівняти з їх несучу здатність.</w:t>
      </w:r>
    </w:p>
    <w:p w:rsidR="00963A7F" w:rsidRDefault="00963A7F" w:rsidP="00513D65">
      <w:pPr>
        <w:spacing w:after="0" w:line="240" w:lineRule="auto"/>
        <w:ind w:firstLine="567"/>
        <w:jc w:val="both"/>
        <w:rPr>
          <w:rFonts w:ascii="Times New Roman" w:hAnsi="Times New Roman"/>
          <w:sz w:val="24"/>
          <w:szCs w:val="24"/>
        </w:rPr>
      </w:pPr>
      <w:r w:rsidRPr="000D4A06">
        <w:rPr>
          <w:rFonts w:ascii="Times New Roman" w:hAnsi="Times New Roman"/>
          <w:sz w:val="24"/>
          <w:szCs w:val="24"/>
        </w:rPr>
        <w:t>Захист споруди від прогресуючого обвалення забезпечено, якщо для будь-яких елементів і їх з'єднань виконується умова</w:t>
      </w:r>
      <w:r>
        <w:rPr>
          <w:rFonts w:ascii="Times New Roman" w:hAnsi="Times New Roman"/>
          <w:sz w:val="24"/>
          <w:szCs w:val="24"/>
        </w:rPr>
        <w:t>:</w:t>
      </w:r>
    </w:p>
    <w:p w:rsidR="00963A7F" w:rsidRDefault="00963A7F" w:rsidP="00513D65">
      <w:pPr>
        <w:spacing w:after="0" w:line="240" w:lineRule="auto"/>
        <w:jc w:val="center"/>
        <w:rPr>
          <w:sz w:val="26"/>
          <w:szCs w:val="26"/>
        </w:rPr>
      </w:pPr>
      <w:r w:rsidRPr="00175E9F">
        <w:rPr>
          <w:position w:val="-10"/>
          <w:sz w:val="26"/>
          <w:szCs w:val="26"/>
        </w:rPr>
        <w:object w:dxaOrig="720" w:dyaOrig="320">
          <v:shape id="_x0000_i1027" type="#_x0000_t75" style="width:36pt;height:15.75pt" o:ole="">
            <v:imagedata r:id="rId6" o:title=""/>
          </v:shape>
          <o:OLEObject Type="Embed" ProgID="Equation.3" ShapeID="_x0000_i1027" DrawAspect="Content" ObjectID="_1606281165" r:id="rId7"/>
        </w:object>
      </w:r>
    </w:p>
    <w:p w:rsidR="00963A7F" w:rsidRPr="000D4A06" w:rsidRDefault="00963A7F" w:rsidP="00513D65">
      <w:pPr>
        <w:spacing w:after="0" w:line="240" w:lineRule="auto"/>
        <w:ind w:firstLine="567"/>
        <w:jc w:val="both"/>
        <w:rPr>
          <w:rFonts w:ascii="Times New Roman" w:hAnsi="Times New Roman"/>
          <w:sz w:val="24"/>
          <w:szCs w:val="24"/>
        </w:rPr>
      </w:pPr>
      <w:r w:rsidRPr="000D4A06">
        <w:rPr>
          <w:rFonts w:ascii="Times New Roman" w:hAnsi="Times New Roman"/>
          <w:sz w:val="24"/>
          <w:szCs w:val="24"/>
        </w:rPr>
        <w:t xml:space="preserve">де </w:t>
      </w:r>
      <w:r w:rsidRPr="00513D65">
        <w:rPr>
          <w:rFonts w:ascii="Times New Roman" w:hAnsi="Times New Roman"/>
          <w:i/>
          <w:sz w:val="24"/>
          <w:szCs w:val="24"/>
        </w:rPr>
        <w:t>F</w:t>
      </w:r>
      <w:r w:rsidRPr="000D4A06">
        <w:rPr>
          <w:rFonts w:ascii="Times New Roman" w:hAnsi="Times New Roman"/>
          <w:sz w:val="24"/>
          <w:szCs w:val="24"/>
        </w:rPr>
        <w:t xml:space="preserve"> </w:t>
      </w:r>
      <w:r>
        <w:rPr>
          <w:rFonts w:ascii="Times New Roman" w:hAnsi="Times New Roman"/>
          <w:sz w:val="24"/>
          <w:szCs w:val="24"/>
        </w:rPr>
        <w:t xml:space="preserve">– </w:t>
      </w:r>
      <w:r w:rsidRPr="000D4A06">
        <w:rPr>
          <w:rFonts w:ascii="Times New Roman" w:hAnsi="Times New Roman"/>
          <w:sz w:val="24"/>
          <w:szCs w:val="24"/>
        </w:rPr>
        <w:t xml:space="preserve">зусилля в конструктивних елементах або </w:t>
      </w:r>
      <w:r>
        <w:rPr>
          <w:rFonts w:ascii="Times New Roman" w:hAnsi="Times New Roman"/>
          <w:sz w:val="24"/>
          <w:szCs w:val="24"/>
        </w:rPr>
        <w:t xml:space="preserve">в </w:t>
      </w:r>
      <w:r w:rsidRPr="000D4A06">
        <w:rPr>
          <w:rFonts w:ascii="Times New Roman" w:hAnsi="Times New Roman"/>
          <w:sz w:val="24"/>
          <w:szCs w:val="24"/>
        </w:rPr>
        <w:t>їх</w:t>
      </w:r>
      <w:r>
        <w:rPr>
          <w:rFonts w:ascii="Times New Roman" w:hAnsi="Times New Roman"/>
          <w:sz w:val="24"/>
          <w:szCs w:val="24"/>
        </w:rPr>
        <w:t>ніх</w:t>
      </w:r>
      <w:r w:rsidRPr="000D4A06">
        <w:rPr>
          <w:rFonts w:ascii="Times New Roman" w:hAnsi="Times New Roman"/>
          <w:sz w:val="24"/>
          <w:szCs w:val="24"/>
        </w:rPr>
        <w:t xml:space="preserve"> з'єднаннях, знайдені з виконаного розрахунку, </w:t>
      </w:r>
      <w:r w:rsidRPr="00513D65">
        <w:rPr>
          <w:rFonts w:ascii="Times New Roman" w:hAnsi="Times New Roman"/>
          <w:i/>
          <w:sz w:val="24"/>
          <w:szCs w:val="24"/>
        </w:rPr>
        <w:t>S</w:t>
      </w:r>
      <w:r w:rsidRPr="000D4A06">
        <w:rPr>
          <w:rFonts w:ascii="Times New Roman" w:hAnsi="Times New Roman"/>
          <w:sz w:val="24"/>
          <w:szCs w:val="24"/>
        </w:rPr>
        <w:t xml:space="preserve"> </w:t>
      </w:r>
      <w:r>
        <w:rPr>
          <w:rFonts w:ascii="Times New Roman" w:hAnsi="Times New Roman"/>
          <w:sz w:val="24"/>
          <w:szCs w:val="24"/>
        </w:rPr>
        <w:t xml:space="preserve">– </w:t>
      </w:r>
      <w:r w:rsidRPr="000D4A06">
        <w:rPr>
          <w:rFonts w:ascii="Times New Roman" w:hAnsi="Times New Roman"/>
          <w:sz w:val="24"/>
          <w:szCs w:val="24"/>
        </w:rPr>
        <w:t xml:space="preserve">несуча здатність конструктивних елементів </w:t>
      </w:r>
      <w:r>
        <w:rPr>
          <w:rFonts w:ascii="Times New Roman" w:hAnsi="Times New Roman"/>
          <w:sz w:val="24"/>
          <w:szCs w:val="24"/>
        </w:rPr>
        <w:t>та</w:t>
      </w:r>
      <w:r w:rsidRPr="000D4A06">
        <w:rPr>
          <w:rFonts w:ascii="Times New Roman" w:hAnsi="Times New Roman"/>
          <w:sz w:val="24"/>
          <w:szCs w:val="24"/>
        </w:rPr>
        <w:t xml:space="preserve"> їх</w:t>
      </w:r>
      <w:r>
        <w:rPr>
          <w:rFonts w:ascii="Times New Roman" w:hAnsi="Times New Roman"/>
          <w:sz w:val="24"/>
          <w:szCs w:val="24"/>
        </w:rPr>
        <w:t>ніх</w:t>
      </w:r>
      <w:r w:rsidRPr="000D4A06">
        <w:rPr>
          <w:rFonts w:ascii="Times New Roman" w:hAnsi="Times New Roman"/>
          <w:sz w:val="24"/>
          <w:szCs w:val="24"/>
        </w:rPr>
        <w:t xml:space="preserve"> з'єднань</w:t>
      </w:r>
      <w:r>
        <w:rPr>
          <w:rFonts w:ascii="Times New Roman" w:hAnsi="Times New Roman"/>
          <w:sz w:val="24"/>
          <w:szCs w:val="24"/>
        </w:rPr>
        <w:t>.</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При розрахунку споруд на стійкість проти прогресуючого обвалення розрахункові характеристики міцності і деформаційні характеристики матеріалів приймаються рівними їх нормативним значенням, що визначаються відповідно до чинних нормативних документів.</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При розрахунку споруд на стійкість проти прогресуючого обвалення коефіцієнти надійності за навантаженням слід приймати</w:t>
      </w:r>
      <w:r>
        <w:rPr>
          <w:rFonts w:ascii="Times New Roman" w:hAnsi="Times New Roman"/>
          <w:sz w:val="24"/>
          <w:szCs w:val="24"/>
        </w:rPr>
        <w:t xml:space="preserve"> </w:t>
      </w:r>
      <w:r w:rsidRPr="006E790B">
        <w:rPr>
          <w:position w:val="-14"/>
          <w:sz w:val="26"/>
          <w:szCs w:val="26"/>
        </w:rPr>
        <w:object w:dxaOrig="840" w:dyaOrig="380">
          <v:shape id="_x0000_i1028" type="#_x0000_t75" style="width:41.25pt;height:18.75pt" o:ole="">
            <v:imagedata r:id="rId8" o:title=""/>
          </v:shape>
          <o:OLEObject Type="Embed" ProgID="Equation.3" ShapeID="_x0000_i1028" DrawAspect="Content" ObjectID="_1606281166" r:id="rId9"/>
        </w:object>
      </w:r>
      <w:r w:rsidRPr="000D4A06">
        <w:rPr>
          <w:rFonts w:ascii="Times New Roman" w:hAnsi="Times New Roman"/>
          <w:sz w:val="24"/>
          <w:szCs w:val="24"/>
        </w:rPr>
        <w:t>.</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Розрахунок споруд на стійкість проти прогресуючого обвалення слід виконувати на поєднання навантажень</w:t>
      </w:r>
      <w:r>
        <w:rPr>
          <w:rFonts w:ascii="Times New Roman" w:hAnsi="Times New Roman"/>
          <w:sz w:val="24"/>
          <w:szCs w:val="24"/>
        </w:rPr>
        <w:t xml:space="preserve"> </w:t>
      </w:r>
      <w:r w:rsidRPr="006E790B">
        <w:rPr>
          <w:position w:val="-12"/>
          <w:sz w:val="26"/>
          <w:szCs w:val="26"/>
        </w:rPr>
        <w:object w:dxaOrig="460" w:dyaOrig="380">
          <v:shape id="_x0000_i1029" type="#_x0000_t75" style="width:23.25pt;height:18.75pt" o:ole="">
            <v:imagedata r:id="rId10" o:title=""/>
          </v:shape>
          <o:OLEObject Type="Embed" ProgID="Equation.3" ShapeID="_x0000_i1029" DrawAspect="Content" ObjectID="_1606281167" r:id="rId11"/>
        </w:object>
      </w:r>
      <w:r w:rsidRPr="000D4A06">
        <w:rPr>
          <w:rFonts w:ascii="Times New Roman" w:hAnsi="Times New Roman"/>
          <w:sz w:val="24"/>
          <w:szCs w:val="24"/>
        </w:rPr>
        <w:t>, що складається з постійних</w:t>
      </w:r>
      <w:r>
        <w:rPr>
          <w:rFonts w:ascii="Times New Roman" w:hAnsi="Times New Roman"/>
          <w:sz w:val="24"/>
          <w:szCs w:val="24"/>
        </w:rPr>
        <w:t xml:space="preserve"> </w:t>
      </w:r>
      <w:r w:rsidRPr="006E790B">
        <w:rPr>
          <w:position w:val="-12"/>
          <w:sz w:val="26"/>
          <w:szCs w:val="26"/>
        </w:rPr>
        <w:object w:dxaOrig="300" w:dyaOrig="360">
          <v:shape id="_x0000_i1030" type="#_x0000_t75" style="width:15pt;height:18pt" o:ole="">
            <v:imagedata r:id="rId12" o:title=""/>
          </v:shape>
          <o:OLEObject Type="Embed" ProgID="Equation.3" ShapeID="_x0000_i1030" DrawAspect="Content" ObjectID="_1606281168" r:id="rId13"/>
        </w:object>
      </w:r>
      <w:r w:rsidRPr="000D4A06">
        <w:rPr>
          <w:rFonts w:ascii="Times New Roman" w:hAnsi="Times New Roman"/>
          <w:sz w:val="24"/>
          <w:szCs w:val="24"/>
        </w:rPr>
        <w:t xml:space="preserve"> і тривалих</w:t>
      </w:r>
      <w:r>
        <w:rPr>
          <w:rFonts w:ascii="Times New Roman" w:hAnsi="Times New Roman"/>
          <w:sz w:val="24"/>
          <w:szCs w:val="24"/>
        </w:rPr>
        <w:t xml:space="preserve"> </w:t>
      </w:r>
      <w:r w:rsidRPr="006E790B">
        <w:rPr>
          <w:position w:val="-12"/>
          <w:sz w:val="26"/>
          <w:szCs w:val="26"/>
        </w:rPr>
        <w:object w:dxaOrig="260" w:dyaOrig="360">
          <v:shape id="_x0000_i1031" type="#_x0000_t75" style="width:13.5pt;height:18pt" o:ole="">
            <v:imagedata r:id="rId14" o:title=""/>
          </v:shape>
          <o:OLEObject Type="Embed" ProgID="Equation.3" ShapeID="_x0000_i1031" DrawAspect="Content" ObjectID="_1606281169" r:id="rId15"/>
        </w:object>
      </w:r>
      <w:r>
        <w:rPr>
          <w:position w:val="-12"/>
          <w:sz w:val="26"/>
          <w:szCs w:val="26"/>
        </w:rPr>
        <w:t xml:space="preserve"> </w:t>
      </w:r>
      <w:r>
        <w:rPr>
          <w:rFonts w:ascii="Times New Roman" w:hAnsi="Times New Roman"/>
          <w:sz w:val="24"/>
          <w:szCs w:val="24"/>
        </w:rPr>
        <w:t>навантажень,</w:t>
      </w:r>
      <w:r w:rsidRPr="000D4A06">
        <w:rPr>
          <w:rFonts w:ascii="Times New Roman" w:hAnsi="Times New Roman"/>
          <w:sz w:val="24"/>
          <w:szCs w:val="24"/>
        </w:rPr>
        <w:t xml:space="preserve"> з урахуванням зміни розрахункової схеми, викликан</w:t>
      </w:r>
      <w:r>
        <w:rPr>
          <w:rFonts w:ascii="Times New Roman" w:hAnsi="Times New Roman"/>
          <w:sz w:val="24"/>
          <w:szCs w:val="24"/>
        </w:rPr>
        <w:t>ої</w:t>
      </w:r>
      <w:r w:rsidRPr="000D4A06">
        <w:rPr>
          <w:rFonts w:ascii="Times New Roman" w:hAnsi="Times New Roman"/>
          <w:sz w:val="24"/>
          <w:szCs w:val="24"/>
        </w:rPr>
        <w:t xml:space="preserve"> локальним руйнуванням.</w:t>
      </w:r>
    </w:p>
    <w:p w:rsidR="00963A7F" w:rsidRPr="000D4A06" w:rsidRDefault="00963A7F" w:rsidP="000D4A06">
      <w:pPr>
        <w:spacing w:after="0" w:line="240" w:lineRule="auto"/>
        <w:ind w:firstLine="567"/>
        <w:jc w:val="center"/>
        <w:rPr>
          <w:rFonts w:ascii="Times New Roman" w:hAnsi="Times New Roman"/>
          <w:sz w:val="24"/>
          <w:szCs w:val="24"/>
        </w:rPr>
      </w:pPr>
      <w:r w:rsidRPr="006E790B">
        <w:rPr>
          <w:position w:val="-12"/>
          <w:sz w:val="26"/>
          <w:szCs w:val="26"/>
        </w:rPr>
        <w:object w:dxaOrig="1400" w:dyaOrig="380">
          <v:shape id="_x0000_i1032" type="#_x0000_t75" style="width:68.25pt;height:18.75pt" o:ole="">
            <v:imagedata r:id="rId16" o:title=""/>
          </v:shape>
          <o:OLEObject Type="Embed" ProgID="Equation.3" ShapeID="_x0000_i1032" DrawAspect="Content" ObjectID="_1606281170" r:id="rId17"/>
        </w:objec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Коефіцієнт надійності по відповідальності при розрахунку споруд на стійкість проти прогресуючого обвалення слід приймати</w:t>
      </w:r>
      <w:r>
        <w:rPr>
          <w:rFonts w:ascii="Times New Roman" w:hAnsi="Times New Roman"/>
          <w:sz w:val="24"/>
          <w:szCs w:val="24"/>
        </w:rPr>
        <w:t xml:space="preserve"> </w:t>
      </w:r>
      <w:r w:rsidRPr="006E790B">
        <w:rPr>
          <w:position w:val="-12"/>
          <w:sz w:val="26"/>
          <w:szCs w:val="26"/>
        </w:rPr>
        <w:object w:dxaOrig="820" w:dyaOrig="360">
          <v:shape id="_x0000_i1033" type="#_x0000_t75" style="width:40.5pt;height:18pt" o:ole="">
            <v:imagedata r:id="rId18" o:title=""/>
          </v:shape>
          <o:OLEObject Type="Embed" ProgID="Equation.3" ShapeID="_x0000_i1033" DrawAspect="Content" ObjectID="_1606281171" r:id="rId19"/>
        </w:object>
      </w:r>
      <w:r w:rsidRPr="000D4A06">
        <w:rPr>
          <w:rFonts w:ascii="Times New Roman" w:hAnsi="Times New Roman"/>
          <w:sz w:val="24"/>
          <w:szCs w:val="24"/>
        </w:rPr>
        <w:t>. У завданні на проектування замовником може бути встановлений коефіцієнт надійності по відповідальності</w:t>
      </w:r>
      <w:r>
        <w:rPr>
          <w:rFonts w:ascii="Times New Roman" w:hAnsi="Times New Roman"/>
          <w:sz w:val="24"/>
          <w:szCs w:val="24"/>
        </w:rPr>
        <w:t xml:space="preserve"> </w:t>
      </w:r>
      <w:r w:rsidRPr="006E790B">
        <w:rPr>
          <w:position w:val="-12"/>
          <w:sz w:val="26"/>
          <w:szCs w:val="26"/>
        </w:rPr>
        <w:object w:dxaOrig="820" w:dyaOrig="360">
          <v:shape id="_x0000_i1034" type="#_x0000_t75" style="width:40.5pt;height:18pt" o:ole="">
            <v:imagedata r:id="rId20" o:title=""/>
          </v:shape>
          <o:OLEObject Type="Embed" ProgID="Equation.3" ShapeID="_x0000_i1034" DrawAspect="Content" ObjectID="_1606281172" r:id="rId21"/>
        </w:object>
      </w:r>
      <w:r w:rsidRPr="000D4A06">
        <w:rPr>
          <w:rFonts w:ascii="Times New Roman" w:hAnsi="Times New Roman"/>
          <w:sz w:val="24"/>
          <w:szCs w:val="24"/>
        </w:rPr>
        <w:t>.</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Для розрахунку споруд на стійкість проти прогресуючого обвалення слід використовувати просторову розрахункову модель, в якій враховується взаємодія з ґрунтовою основою. У розрахункової моделі слід враховувати можливе включення в роботу елементів, які за нормальних умов експлуатації споруди є ненесучими (наприклад, навісні зовнішні стінові панелі, парапети, залізобетонні огорожі балконів, перегородки і т.п.), а при локальному руйнуванні активно беруть участь в перерозподілі зусиль в елементах конструктивної системи.</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При розрахунку споруд на стійкість проти прогресуючого обвалення слід передбачати можливість стадійного розрахунку. На початковій стадії необхідно визначити напружено-деформований стан конструкцій за умов нормальної експлуатації. На наступних стадіях слід визначати напружено-деформований стан конструкцій, що виникає при локальному руйнуванні, за умови врахування деформацій конструкцій, що виникли в результаті нормальної експлуатації.</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У розрахунков</w:t>
      </w:r>
      <w:r>
        <w:rPr>
          <w:rFonts w:ascii="Times New Roman" w:hAnsi="Times New Roman"/>
          <w:sz w:val="24"/>
          <w:szCs w:val="24"/>
        </w:rPr>
        <w:t>ій</w:t>
      </w:r>
      <w:r w:rsidRPr="000D4A06">
        <w:rPr>
          <w:rFonts w:ascii="Times New Roman" w:hAnsi="Times New Roman"/>
          <w:sz w:val="24"/>
          <w:szCs w:val="24"/>
        </w:rPr>
        <w:t xml:space="preserve"> моделі споруди слід враховувати реальну діаграму роботи матеріалу конструкцій і їх</w:t>
      </w:r>
      <w:r>
        <w:rPr>
          <w:rFonts w:ascii="Times New Roman" w:hAnsi="Times New Roman"/>
          <w:sz w:val="24"/>
          <w:szCs w:val="24"/>
        </w:rPr>
        <w:t>ніх</w:t>
      </w:r>
      <w:r w:rsidRPr="000D4A06">
        <w:rPr>
          <w:rFonts w:ascii="Times New Roman" w:hAnsi="Times New Roman"/>
          <w:sz w:val="24"/>
          <w:szCs w:val="24"/>
        </w:rPr>
        <w:t xml:space="preserve"> стиків (розшарування цегляної кладки при роботі конструкції на розтяг; несприйняття в платформеном</w:t>
      </w:r>
      <w:r>
        <w:rPr>
          <w:rFonts w:ascii="Times New Roman" w:hAnsi="Times New Roman"/>
          <w:sz w:val="24"/>
          <w:szCs w:val="24"/>
        </w:rPr>
        <w:t>у</w:t>
      </w:r>
      <w:r w:rsidRPr="000D4A06">
        <w:rPr>
          <w:rFonts w:ascii="Times New Roman" w:hAnsi="Times New Roman"/>
          <w:sz w:val="24"/>
          <w:szCs w:val="24"/>
        </w:rPr>
        <w:t xml:space="preserve"> стику напру</w:t>
      </w:r>
      <w:r>
        <w:rPr>
          <w:rFonts w:ascii="Times New Roman" w:hAnsi="Times New Roman"/>
          <w:sz w:val="24"/>
          <w:szCs w:val="24"/>
        </w:rPr>
        <w:t>жень розтягу</w:t>
      </w:r>
      <w:r w:rsidRPr="000D4A06">
        <w:rPr>
          <w:rFonts w:ascii="Times New Roman" w:hAnsi="Times New Roman"/>
          <w:sz w:val="24"/>
          <w:szCs w:val="24"/>
        </w:rPr>
        <w:t>, крихке руйнування конструкцій і вузлів їх сполучення і т.п.).</w:t>
      </w:r>
    </w:p>
    <w:p w:rsidR="00963A7F" w:rsidRPr="000D4A06" w:rsidRDefault="00963A7F" w:rsidP="000D4A06">
      <w:pPr>
        <w:spacing w:after="0" w:line="240" w:lineRule="auto"/>
        <w:ind w:firstLine="567"/>
        <w:jc w:val="both"/>
        <w:rPr>
          <w:rFonts w:ascii="Times New Roman" w:hAnsi="Times New Roman"/>
          <w:sz w:val="24"/>
          <w:szCs w:val="24"/>
        </w:rPr>
      </w:pPr>
      <w:r w:rsidRPr="000D4A06">
        <w:rPr>
          <w:rFonts w:ascii="Times New Roman" w:hAnsi="Times New Roman"/>
          <w:sz w:val="24"/>
          <w:szCs w:val="24"/>
        </w:rPr>
        <w:t>Основними конструктивними заходами щодо захисту споруд від прогресуючого обвалення є:</w:t>
      </w:r>
    </w:p>
    <w:p w:rsidR="00963A7F" w:rsidRPr="000D4A06" w:rsidRDefault="00963A7F" w:rsidP="00513D65">
      <w:pPr>
        <w:pStyle w:val="ListParagraph"/>
        <w:numPr>
          <w:ilvl w:val="0"/>
          <w:numId w:val="5"/>
        </w:numPr>
        <w:ind w:left="1080"/>
        <w:jc w:val="both"/>
        <w:rPr>
          <w:sz w:val="24"/>
          <w:szCs w:val="24"/>
        </w:rPr>
      </w:pPr>
      <w:r>
        <w:rPr>
          <w:sz w:val="24"/>
          <w:szCs w:val="24"/>
        </w:rPr>
        <w:t>з</w:t>
      </w:r>
      <w:r w:rsidRPr="000D4A06">
        <w:rPr>
          <w:sz w:val="24"/>
          <w:szCs w:val="24"/>
        </w:rPr>
        <w:t>абезпечення необхідної несучої здатності конструктивних елементів і з'єднань між ними при аварійному впливі, що при</w:t>
      </w:r>
      <w:r>
        <w:rPr>
          <w:sz w:val="24"/>
          <w:szCs w:val="24"/>
        </w:rPr>
        <w:t>з</w:t>
      </w:r>
      <w:r w:rsidRPr="000D4A06">
        <w:rPr>
          <w:sz w:val="24"/>
          <w:szCs w:val="24"/>
        </w:rPr>
        <w:t>водить до локального руйнування;</w:t>
      </w:r>
    </w:p>
    <w:p w:rsidR="00963A7F" w:rsidRPr="000D4A06" w:rsidRDefault="00963A7F" w:rsidP="00513D65">
      <w:pPr>
        <w:pStyle w:val="ListParagraph"/>
        <w:numPr>
          <w:ilvl w:val="0"/>
          <w:numId w:val="5"/>
        </w:numPr>
        <w:ind w:left="1080"/>
        <w:jc w:val="both"/>
        <w:rPr>
          <w:sz w:val="24"/>
          <w:szCs w:val="24"/>
        </w:rPr>
      </w:pPr>
      <w:r w:rsidRPr="000D4A06">
        <w:rPr>
          <w:sz w:val="24"/>
          <w:szCs w:val="24"/>
        </w:rPr>
        <w:t>забезпечення необхідних пластичних деформацій у з'єднаннях конструктивних елементів.</w:t>
      </w:r>
    </w:p>
    <w:p w:rsidR="00963A7F" w:rsidRPr="000D4A06" w:rsidRDefault="00963A7F" w:rsidP="00513D65">
      <w:pPr>
        <w:pStyle w:val="ListParagraph"/>
        <w:numPr>
          <w:ilvl w:val="0"/>
          <w:numId w:val="5"/>
        </w:numPr>
        <w:ind w:left="1080"/>
        <w:jc w:val="both"/>
        <w:rPr>
          <w:sz w:val="24"/>
          <w:szCs w:val="24"/>
        </w:rPr>
      </w:pPr>
      <w:r w:rsidRPr="000D4A06">
        <w:rPr>
          <w:sz w:val="24"/>
          <w:szCs w:val="24"/>
        </w:rPr>
        <w:t>забезпечення в шпонкових з'єднаннях міцності окремих шпонок на зріз в 1,5 рази вище їх міцності на зминання;</w:t>
      </w:r>
    </w:p>
    <w:p w:rsidR="00963A7F" w:rsidRPr="000D4A06" w:rsidRDefault="00963A7F" w:rsidP="00513D65">
      <w:pPr>
        <w:pStyle w:val="ListParagraph"/>
        <w:numPr>
          <w:ilvl w:val="0"/>
          <w:numId w:val="5"/>
        </w:numPr>
        <w:ind w:left="1080"/>
        <w:jc w:val="both"/>
        <w:rPr>
          <w:sz w:val="24"/>
          <w:szCs w:val="24"/>
        </w:rPr>
      </w:pPr>
      <w:r w:rsidRPr="000D4A06">
        <w:rPr>
          <w:sz w:val="24"/>
          <w:szCs w:val="24"/>
        </w:rPr>
        <w:t>забезпечення в болтових з'єднаннях міцності окремих болтів на зріз в 1,1 рази вище їх міцності на зминання;</w:t>
      </w:r>
    </w:p>
    <w:p w:rsidR="00963A7F" w:rsidRPr="000D4A06" w:rsidRDefault="00963A7F" w:rsidP="00513D65">
      <w:pPr>
        <w:pStyle w:val="ListParagraph"/>
        <w:numPr>
          <w:ilvl w:val="0"/>
          <w:numId w:val="5"/>
        </w:numPr>
        <w:ind w:left="1080"/>
        <w:jc w:val="both"/>
        <w:rPr>
          <w:sz w:val="24"/>
          <w:szCs w:val="24"/>
        </w:rPr>
      </w:pPr>
      <w:r w:rsidRPr="000D4A06">
        <w:rPr>
          <w:sz w:val="24"/>
          <w:szCs w:val="24"/>
        </w:rPr>
        <w:t xml:space="preserve">забезпечення </w:t>
      </w:r>
      <w:r>
        <w:rPr>
          <w:sz w:val="24"/>
          <w:szCs w:val="24"/>
        </w:rPr>
        <w:t>у</w:t>
      </w:r>
      <w:r w:rsidRPr="000D4A06">
        <w:rPr>
          <w:sz w:val="24"/>
          <w:szCs w:val="24"/>
        </w:rPr>
        <w:t xml:space="preserve"> зварних з'єднаннях запобігання крихкому руйнуванню </w:t>
      </w:r>
      <w:r>
        <w:rPr>
          <w:sz w:val="24"/>
          <w:szCs w:val="24"/>
        </w:rPr>
        <w:t xml:space="preserve">у </w:t>
      </w:r>
      <w:r w:rsidRPr="000D4A06">
        <w:rPr>
          <w:sz w:val="24"/>
          <w:szCs w:val="24"/>
        </w:rPr>
        <w:t>граничному стані відповідно до СП 16.13330;</w:t>
      </w:r>
    </w:p>
    <w:p w:rsidR="00963A7F" w:rsidRDefault="00963A7F" w:rsidP="00513D65">
      <w:pPr>
        <w:pStyle w:val="ListParagraph"/>
        <w:numPr>
          <w:ilvl w:val="0"/>
          <w:numId w:val="5"/>
        </w:numPr>
        <w:ind w:left="1080"/>
        <w:jc w:val="both"/>
        <w:rPr>
          <w:sz w:val="24"/>
          <w:szCs w:val="24"/>
        </w:rPr>
      </w:pPr>
      <w:r w:rsidRPr="000D4A06">
        <w:rPr>
          <w:sz w:val="24"/>
          <w:szCs w:val="24"/>
        </w:rPr>
        <w:t>забезпечення достатності довжини анкерування арматури при її роботі як зв'язку зсуву;</w:t>
      </w:r>
    </w:p>
    <w:p w:rsidR="00963A7F" w:rsidRDefault="00963A7F" w:rsidP="00513D65">
      <w:pPr>
        <w:pStyle w:val="ListParagraph"/>
        <w:numPr>
          <w:ilvl w:val="0"/>
          <w:numId w:val="5"/>
        </w:numPr>
        <w:ind w:left="1080"/>
        <w:jc w:val="both"/>
        <w:rPr>
          <w:sz w:val="24"/>
          <w:szCs w:val="24"/>
        </w:rPr>
      </w:pPr>
      <w:r w:rsidRPr="000D4A06">
        <w:rPr>
          <w:sz w:val="24"/>
          <w:szCs w:val="24"/>
        </w:rPr>
        <w:t xml:space="preserve"> забезпечення в перетинах надпроемних перемичок, балок, ригелів, плит, в граничному стані руйнування по вигину, а не по зрізу.</w:t>
      </w:r>
    </w:p>
    <w:p w:rsidR="00963A7F" w:rsidRDefault="00963A7F" w:rsidP="00513D65">
      <w:pPr>
        <w:pStyle w:val="ListParagraph"/>
        <w:ind w:left="720"/>
        <w:jc w:val="both"/>
        <w:rPr>
          <w:sz w:val="24"/>
          <w:szCs w:val="24"/>
        </w:rPr>
      </w:pPr>
    </w:p>
    <w:p w:rsidR="00963A7F" w:rsidRDefault="00963A7F" w:rsidP="00DE7F5E">
      <w:pPr>
        <w:spacing w:after="0" w:line="240" w:lineRule="auto"/>
        <w:ind w:firstLine="567"/>
        <w:jc w:val="both"/>
        <w:rPr>
          <w:rFonts w:ascii="Times New Roman" w:hAnsi="Times New Roman"/>
          <w:sz w:val="24"/>
          <w:szCs w:val="24"/>
        </w:rPr>
      </w:pPr>
      <w:r w:rsidRPr="00513D65">
        <w:rPr>
          <w:rFonts w:ascii="Times New Roman" w:hAnsi="Times New Roman"/>
          <w:b/>
          <w:sz w:val="24"/>
          <w:szCs w:val="24"/>
        </w:rPr>
        <w:t>Висновки</w:t>
      </w:r>
      <w:r>
        <w:rPr>
          <w:rFonts w:ascii="Times New Roman" w:hAnsi="Times New Roman"/>
          <w:sz w:val="24"/>
          <w:szCs w:val="24"/>
        </w:rPr>
        <w:t xml:space="preserve">. </w:t>
      </w:r>
      <w:r w:rsidRPr="00DE7F5E">
        <w:rPr>
          <w:rFonts w:ascii="Times New Roman" w:hAnsi="Times New Roman"/>
          <w:sz w:val="24"/>
          <w:szCs w:val="24"/>
        </w:rPr>
        <w:t xml:space="preserve">Беручи до уваги все вищенаведене, </w:t>
      </w:r>
      <w:r>
        <w:rPr>
          <w:rFonts w:ascii="Times New Roman" w:hAnsi="Times New Roman"/>
          <w:sz w:val="24"/>
          <w:szCs w:val="24"/>
        </w:rPr>
        <w:t>не виникає сумнівів у необхідності впровадження до державних будівельних норм подібної збірки правил і в Україні. У зв’язку з введенням такого документу вперше і відсутністю практики у нормуванні прогресивного руйнування раніше, залишається необхідним доопрацювання даної теми також у прийнятих закордонних нормативних документах. Але при цьому, на сьогодення, для української будівельної галузі невід’ємною частиною етапу проектування будівель і споруд постає саме моделювання та аналіз можливого виникнення імовірної аварійної ситуації на об’єкті, а отже й створення нормативної методології його проведення</w:t>
      </w:r>
      <w:r w:rsidRPr="00A81D40">
        <w:rPr>
          <w:rFonts w:ascii="Times New Roman" w:hAnsi="Times New Roman"/>
          <w:sz w:val="24"/>
          <w:szCs w:val="24"/>
        </w:rPr>
        <w:t xml:space="preserve"> [3]</w:t>
      </w:r>
      <w:r>
        <w:rPr>
          <w:rFonts w:ascii="Times New Roman" w:hAnsi="Times New Roman"/>
          <w:sz w:val="24"/>
          <w:szCs w:val="24"/>
        </w:rPr>
        <w:t>.</w:t>
      </w:r>
    </w:p>
    <w:p w:rsidR="00963A7F" w:rsidRDefault="00963A7F" w:rsidP="00DE7F5E">
      <w:pPr>
        <w:spacing w:after="0" w:line="240" w:lineRule="auto"/>
        <w:ind w:firstLine="567"/>
        <w:jc w:val="both"/>
        <w:rPr>
          <w:rFonts w:ascii="Times New Roman" w:hAnsi="Times New Roman"/>
          <w:sz w:val="24"/>
          <w:szCs w:val="24"/>
        </w:rPr>
      </w:pPr>
    </w:p>
    <w:p w:rsidR="00963A7F" w:rsidRDefault="00963A7F" w:rsidP="006A1CEA">
      <w:pPr>
        <w:spacing w:after="0" w:line="240" w:lineRule="auto"/>
        <w:ind w:firstLine="567"/>
        <w:jc w:val="center"/>
        <w:rPr>
          <w:rFonts w:ascii="Times New Roman" w:hAnsi="Times New Roman"/>
          <w:b/>
          <w:i/>
          <w:sz w:val="24"/>
          <w:szCs w:val="24"/>
        </w:rPr>
      </w:pPr>
      <w:r w:rsidRPr="00A81D40">
        <w:rPr>
          <w:rFonts w:ascii="Times New Roman" w:hAnsi="Times New Roman"/>
          <w:b/>
          <w:i/>
          <w:sz w:val="24"/>
          <w:szCs w:val="24"/>
        </w:rPr>
        <w:t>Література</w:t>
      </w:r>
    </w:p>
    <w:p w:rsidR="00963A7F" w:rsidRDefault="00963A7F" w:rsidP="006A1CEA">
      <w:pPr>
        <w:pStyle w:val="ListParagraph"/>
        <w:numPr>
          <w:ilvl w:val="0"/>
          <w:numId w:val="8"/>
        </w:numPr>
        <w:ind w:left="426"/>
        <w:jc w:val="both"/>
        <w:rPr>
          <w:i/>
          <w:sz w:val="24"/>
          <w:szCs w:val="24"/>
        </w:rPr>
      </w:pPr>
      <w:hyperlink r:id="rId22" w:history="1">
        <w:r w:rsidRPr="00660F7F">
          <w:rPr>
            <w:i/>
            <w:sz w:val="24"/>
            <w:szCs w:val="24"/>
          </w:rPr>
          <w:t>СП 385.1325800.2018 Защита зданий и сооружений от прогрессирующего обрушения. Правила проектирования. Основные положения</w:t>
        </w:r>
      </w:hyperlink>
      <w:r>
        <w:rPr>
          <w:i/>
          <w:sz w:val="24"/>
          <w:szCs w:val="24"/>
        </w:rPr>
        <w:t>.</w:t>
      </w:r>
      <w:r w:rsidRPr="00A662B2">
        <w:rPr>
          <w:i/>
          <w:sz w:val="24"/>
          <w:szCs w:val="24"/>
        </w:rPr>
        <w:t xml:space="preserve"> [Текст]. –Москва : Минстрой России, 201</w:t>
      </w:r>
      <w:r>
        <w:rPr>
          <w:i/>
          <w:sz w:val="24"/>
          <w:szCs w:val="24"/>
          <w:lang w:val="ru-RU"/>
        </w:rPr>
        <w:t>8</w:t>
      </w:r>
      <w:r w:rsidRPr="00A662B2">
        <w:rPr>
          <w:i/>
          <w:sz w:val="24"/>
          <w:szCs w:val="24"/>
        </w:rPr>
        <w:t xml:space="preserve">. – </w:t>
      </w:r>
      <w:r>
        <w:rPr>
          <w:i/>
          <w:sz w:val="24"/>
          <w:szCs w:val="24"/>
          <w:lang w:val="ru-RU"/>
        </w:rPr>
        <w:t>30</w:t>
      </w:r>
      <w:r w:rsidRPr="00A662B2">
        <w:rPr>
          <w:i/>
          <w:sz w:val="24"/>
          <w:szCs w:val="24"/>
        </w:rPr>
        <w:t xml:space="preserve"> с</w:t>
      </w:r>
    </w:p>
    <w:p w:rsidR="00963A7F" w:rsidRPr="00A662B2" w:rsidRDefault="00963A7F" w:rsidP="006A1CEA">
      <w:pPr>
        <w:pStyle w:val="ListParagraph"/>
        <w:numPr>
          <w:ilvl w:val="0"/>
          <w:numId w:val="8"/>
        </w:numPr>
        <w:ind w:left="426"/>
        <w:jc w:val="both"/>
        <w:rPr>
          <w:i/>
          <w:sz w:val="24"/>
          <w:szCs w:val="24"/>
        </w:rPr>
      </w:pPr>
      <w:r w:rsidRPr="00A662B2">
        <w:rPr>
          <w:i/>
          <w:sz w:val="24"/>
          <w:szCs w:val="24"/>
        </w:rPr>
        <w:t>СП 296.1325800.2017 Свод правил. Здания и сооружения. Особые воздействия [Текст]. –</w:t>
      </w:r>
      <w:r>
        <w:rPr>
          <w:i/>
          <w:sz w:val="24"/>
          <w:szCs w:val="24"/>
          <w:lang w:val="ru-RU"/>
        </w:rPr>
        <w:t xml:space="preserve"> </w:t>
      </w:r>
      <w:r w:rsidRPr="00A662B2">
        <w:rPr>
          <w:i/>
          <w:sz w:val="24"/>
          <w:szCs w:val="24"/>
        </w:rPr>
        <w:t>Москва : Минстрой России, 2017. – 27 с</w:t>
      </w:r>
    </w:p>
    <w:p w:rsidR="00963A7F" w:rsidRPr="00A662B2" w:rsidRDefault="00963A7F" w:rsidP="006A1CEA">
      <w:pPr>
        <w:pStyle w:val="ListParagraph"/>
        <w:numPr>
          <w:ilvl w:val="0"/>
          <w:numId w:val="8"/>
        </w:numPr>
        <w:ind w:left="426"/>
        <w:jc w:val="both"/>
        <w:rPr>
          <w:i/>
          <w:sz w:val="24"/>
          <w:szCs w:val="24"/>
        </w:rPr>
      </w:pPr>
      <w:r w:rsidRPr="009054A4">
        <w:rPr>
          <w:i/>
          <w:sz w:val="24"/>
          <w:szCs w:val="24"/>
        </w:rPr>
        <w:t>СП 132.13330.2011 Обеспечение  антитеррористической защищенности зданий и сооружений.</w:t>
      </w:r>
      <w:r>
        <w:rPr>
          <w:i/>
          <w:sz w:val="24"/>
          <w:szCs w:val="24"/>
        </w:rPr>
        <w:t xml:space="preserve"> </w:t>
      </w:r>
      <w:r w:rsidRPr="009054A4">
        <w:rPr>
          <w:i/>
          <w:sz w:val="24"/>
          <w:szCs w:val="24"/>
        </w:rPr>
        <w:t>Общие требования проектирования</w:t>
      </w:r>
      <w:r>
        <w:rPr>
          <w:i/>
          <w:sz w:val="24"/>
          <w:szCs w:val="24"/>
        </w:rPr>
        <w:t>.</w:t>
      </w:r>
      <w:r w:rsidRPr="009367C6">
        <w:rPr>
          <w:i/>
          <w:sz w:val="24"/>
          <w:szCs w:val="24"/>
        </w:rPr>
        <w:t xml:space="preserve"> </w:t>
      </w:r>
      <w:r w:rsidRPr="00A662B2">
        <w:rPr>
          <w:i/>
          <w:sz w:val="24"/>
          <w:szCs w:val="24"/>
        </w:rPr>
        <w:t>[Текст]. –Москва : Минстрой России, 201</w:t>
      </w:r>
      <w:r>
        <w:rPr>
          <w:i/>
          <w:sz w:val="24"/>
          <w:szCs w:val="24"/>
          <w:lang w:val="ru-RU"/>
        </w:rPr>
        <w:t>1</w:t>
      </w:r>
      <w:r w:rsidRPr="00A662B2">
        <w:rPr>
          <w:i/>
          <w:sz w:val="24"/>
          <w:szCs w:val="24"/>
        </w:rPr>
        <w:t xml:space="preserve">. – </w:t>
      </w:r>
      <w:r>
        <w:rPr>
          <w:i/>
          <w:sz w:val="24"/>
          <w:szCs w:val="24"/>
          <w:lang w:val="ru-RU"/>
        </w:rPr>
        <w:t>18</w:t>
      </w:r>
      <w:r w:rsidRPr="00A662B2">
        <w:rPr>
          <w:i/>
          <w:sz w:val="24"/>
          <w:szCs w:val="24"/>
        </w:rPr>
        <w:t xml:space="preserve"> с</w:t>
      </w:r>
    </w:p>
    <w:p w:rsidR="00963A7F" w:rsidRPr="000A1C37" w:rsidRDefault="00963A7F"/>
    <w:sectPr w:rsidR="00963A7F" w:rsidRPr="000A1C37" w:rsidSect="00320E1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F70"/>
    <w:multiLevelType w:val="hybridMultilevel"/>
    <w:tmpl w:val="8274343C"/>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
    <w:nsid w:val="2B0A51C8"/>
    <w:multiLevelType w:val="hybridMultilevel"/>
    <w:tmpl w:val="360CF7D0"/>
    <w:lvl w:ilvl="0" w:tplc="5484AB3A">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7C2693"/>
    <w:multiLevelType w:val="hybridMultilevel"/>
    <w:tmpl w:val="043CB830"/>
    <w:lvl w:ilvl="0" w:tplc="53E61986">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4CE41481"/>
    <w:multiLevelType w:val="hybridMultilevel"/>
    <w:tmpl w:val="BB8093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55FC7A7F"/>
    <w:multiLevelType w:val="hybridMultilevel"/>
    <w:tmpl w:val="C256D34C"/>
    <w:lvl w:ilvl="0" w:tplc="148E0E4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nsid w:val="5B3E2D7B"/>
    <w:multiLevelType w:val="hybridMultilevel"/>
    <w:tmpl w:val="ADD8DD6A"/>
    <w:lvl w:ilvl="0" w:tplc="53E6198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63951201"/>
    <w:multiLevelType w:val="hybridMultilevel"/>
    <w:tmpl w:val="6EB8FADE"/>
    <w:lvl w:ilvl="0" w:tplc="6FAA5CBE">
      <w:start w:val="1"/>
      <w:numFmt w:val="decimal"/>
      <w:lvlText w:val="%1."/>
      <w:lvlJc w:val="left"/>
      <w:pPr>
        <w:ind w:left="2912" w:hanging="360"/>
      </w:pPr>
      <w:rPr>
        <w:rFonts w:cs="Times New Roman" w:hint="default"/>
      </w:rPr>
    </w:lvl>
    <w:lvl w:ilvl="1" w:tplc="04220019" w:tentative="1">
      <w:start w:val="1"/>
      <w:numFmt w:val="lowerLetter"/>
      <w:lvlText w:val="%2."/>
      <w:lvlJc w:val="left"/>
      <w:pPr>
        <w:ind w:left="3632" w:hanging="360"/>
      </w:pPr>
      <w:rPr>
        <w:rFonts w:cs="Times New Roman"/>
      </w:rPr>
    </w:lvl>
    <w:lvl w:ilvl="2" w:tplc="0422001B" w:tentative="1">
      <w:start w:val="1"/>
      <w:numFmt w:val="lowerRoman"/>
      <w:lvlText w:val="%3."/>
      <w:lvlJc w:val="right"/>
      <w:pPr>
        <w:ind w:left="4352" w:hanging="180"/>
      </w:pPr>
      <w:rPr>
        <w:rFonts w:cs="Times New Roman"/>
      </w:rPr>
    </w:lvl>
    <w:lvl w:ilvl="3" w:tplc="0422000F" w:tentative="1">
      <w:start w:val="1"/>
      <w:numFmt w:val="decimal"/>
      <w:lvlText w:val="%4."/>
      <w:lvlJc w:val="left"/>
      <w:pPr>
        <w:ind w:left="5072" w:hanging="360"/>
      </w:pPr>
      <w:rPr>
        <w:rFonts w:cs="Times New Roman"/>
      </w:rPr>
    </w:lvl>
    <w:lvl w:ilvl="4" w:tplc="04220019" w:tentative="1">
      <w:start w:val="1"/>
      <w:numFmt w:val="lowerLetter"/>
      <w:lvlText w:val="%5."/>
      <w:lvlJc w:val="left"/>
      <w:pPr>
        <w:ind w:left="5792" w:hanging="360"/>
      </w:pPr>
      <w:rPr>
        <w:rFonts w:cs="Times New Roman"/>
      </w:rPr>
    </w:lvl>
    <w:lvl w:ilvl="5" w:tplc="0422001B" w:tentative="1">
      <w:start w:val="1"/>
      <w:numFmt w:val="lowerRoman"/>
      <w:lvlText w:val="%6."/>
      <w:lvlJc w:val="right"/>
      <w:pPr>
        <w:ind w:left="6512" w:hanging="180"/>
      </w:pPr>
      <w:rPr>
        <w:rFonts w:cs="Times New Roman"/>
      </w:rPr>
    </w:lvl>
    <w:lvl w:ilvl="6" w:tplc="0422000F" w:tentative="1">
      <w:start w:val="1"/>
      <w:numFmt w:val="decimal"/>
      <w:lvlText w:val="%7."/>
      <w:lvlJc w:val="left"/>
      <w:pPr>
        <w:ind w:left="7232" w:hanging="360"/>
      </w:pPr>
      <w:rPr>
        <w:rFonts w:cs="Times New Roman"/>
      </w:rPr>
    </w:lvl>
    <w:lvl w:ilvl="7" w:tplc="04220019" w:tentative="1">
      <w:start w:val="1"/>
      <w:numFmt w:val="lowerLetter"/>
      <w:lvlText w:val="%8."/>
      <w:lvlJc w:val="left"/>
      <w:pPr>
        <w:ind w:left="7952" w:hanging="360"/>
      </w:pPr>
      <w:rPr>
        <w:rFonts w:cs="Times New Roman"/>
      </w:rPr>
    </w:lvl>
    <w:lvl w:ilvl="8" w:tplc="0422001B" w:tentative="1">
      <w:start w:val="1"/>
      <w:numFmt w:val="lowerRoman"/>
      <w:lvlText w:val="%9."/>
      <w:lvlJc w:val="right"/>
      <w:pPr>
        <w:ind w:left="8672" w:hanging="180"/>
      </w:pPr>
      <w:rPr>
        <w:rFonts w:cs="Times New Roman"/>
      </w:rPr>
    </w:lvl>
  </w:abstractNum>
  <w:abstractNum w:abstractNumId="7">
    <w:nsid w:val="65497395"/>
    <w:multiLevelType w:val="hybridMultilevel"/>
    <w:tmpl w:val="895AC378"/>
    <w:lvl w:ilvl="0" w:tplc="2BB2BD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1"/>
  </w:num>
  <w:num w:numId="3">
    <w:abstractNumId w:val="5"/>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D6E"/>
    <w:rsid w:val="00001ECF"/>
    <w:rsid w:val="00045C45"/>
    <w:rsid w:val="0007414A"/>
    <w:rsid w:val="000A1C37"/>
    <w:rsid w:val="000B22D9"/>
    <w:rsid w:val="000D4A06"/>
    <w:rsid w:val="000E48FE"/>
    <w:rsid w:val="000E4CAF"/>
    <w:rsid w:val="00143E4A"/>
    <w:rsid w:val="00175E9F"/>
    <w:rsid w:val="00285D6B"/>
    <w:rsid w:val="002F3507"/>
    <w:rsid w:val="00311AC1"/>
    <w:rsid w:val="00320E17"/>
    <w:rsid w:val="003543FF"/>
    <w:rsid w:val="00472ADF"/>
    <w:rsid w:val="004C7CDF"/>
    <w:rsid w:val="004D2AD3"/>
    <w:rsid w:val="005007B8"/>
    <w:rsid w:val="00500D24"/>
    <w:rsid w:val="00500EA3"/>
    <w:rsid w:val="00513D65"/>
    <w:rsid w:val="005860E2"/>
    <w:rsid w:val="00660F7F"/>
    <w:rsid w:val="006A1CEA"/>
    <w:rsid w:val="006C276D"/>
    <w:rsid w:val="006E790B"/>
    <w:rsid w:val="007A7F08"/>
    <w:rsid w:val="007D5B8F"/>
    <w:rsid w:val="00864764"/>
    <w:rsid w:val="008A6527"/>
    <w:rsid w:val="008F161E"/>
    <w:rsid w:val="009054A4"/>
    <w:rsid w:val="009367C6"/>
    <w:rsid w:val="00963A7F"/>
    <w:rsid w:val="00A400AC"/>
    <w:rsid w:val="00A45B63"/>
    <w:rsid w:val="00A662B2"/>
    <w:rsid w:val="00A81D40"/>
    <w:rsid w:val="00A9337D"/>
    <w:rsid w:val="00AB1672"/>
    <w:rsid w:val="00BA2337"/>
    <w:rsid w:val="00C327A7"/>
    <w:rsid w:val="00C36E98"/>
    <w:rsid w:val="00C939B7"/>
    <w:rsid w:val="00CB66F7"/>
    <w:rsid w:val="00CE1D6E"/>
    <w:rsid w:val="00DE7F5E"/>
    <w:rsid w:val="00E46E2F"/>
    <w:rsid w:val="00EA1407"/>
    <w:rsid w:val="00F70D0B"/>
    <w:rsid w:val="00FC555D"/>
    <w:rsid w:val="00FC7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2F"/>
    <w:pPr>
      <w:spacing w:after="200" w:line="276" w:lineRule="auto"/>
    </w:pPr>
    <w:rPr>
      <w:lang w:val="uk-UA" w:eastAsia="uk-UA"/>
    </w:rPr>
  </w:style>
  <w:style w:type="paragraph" w:styleId="Heading1">
    <w:name w:val="heading 1"/>
    <w:basedOn w:val="Normal"/>
    <w:next w:val="Normal"/>
    <w:link w:val="Heading1Char"/>
    <w:uiPriority w:val="99"/>
    <w:qFormat/>
    <w:rsid w:val="00FC555D"/>
    <w:pPr>
      <w:keepNext/>
      <w:spacing w:before="240" w:after="0" w:line="360" w:lineRule="auto"/>
      <w:ind w:firstLine="720"/>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55D"/>
    <w:rPr>
      <w:rFonts w:ascii="Times New Roman" w:hAnsi="Times New Roman" w:cs="Times New Roman"/>
      <w:sz w:val="20"/>
      <w:szCs w:val="20"/>
    </w:rPr>
  </w:style>
  <w:style w:type="paragraph" w:styleId="NormalWeb">
    <w:name w:val="Normal (Web)"/>
    <w:basedOn w:val="Normal"/>
    <w:uiPriority w:val="99"/>
    <w:rsid w:val="00CE1D6E"/>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rsid w:val="000A1C37"/>
    <w:pPr>
      <w:spacing w:after="0" w:line="240" w:lineRule="auto"/>
      <w:ind w:firstLine="720"/>
      <w:jc w:val="both"/>
    </w:pPr>
    <w:rPr>
      <w:rFonts w:ascii="Times New Roman" w:hAnsi="Times New Roman"/>
      <w:sz w:val="28"/>
      <w:szCs w:val="20"/>
    </w:rPr>
  </w:style>
  <w:style w:type="character" w:customStyle="1" w:styleId="BodyTextIndent3Char">
    <w:name w:val="Body Text Indent 3 Char"/>
    <w:basedOn w:val="DefaultParagraphFont"/>
    <w:link w:val="BodyTextIndent3"/>
    <w:uiPriority w:val="99"/>
    <w:locked/>
    <w:rsid w:val="000A1C37"/>
    <w:rPr>
      <w:rFonts w:ascii="Times New Roman" w:hAnsi="Times New Roman" w:cs="Times New Roman"/>
      <w:sz w:val="20"/>
      <w:szCs w:val="20"/>
    </w:rPr>
  </w:style>
  <w:style w:type="paragraph" w:customStyle="1" w:styleId="ConsPlusNormal">
    <w:name w:val="ConsPlusNormal"/>
    <w:uiPriority w:val="99"/>
    <w:rsid w:val="000A1C37"/>
    <w:pPr>
      <w:widowControl w:val="0"/>
      <w:autoSpaceDE w:val="0"/>
      <w:autoSpaceDN w:val="0"/>
      <w:adjustRightInd w:val="0"/>
      <w:ind w:firstLine="720"/>
    </w:pPr>
    <w:rPr>
      <w:rFonts w:ascii="Arial" w:hAnsi="Arial" w:cs="Arial"/>
      <w:sz w:val="20"/>
      <w:szCs w:val="20"/>
      <w:lang w:val="uk-UA" w:eastAsia="uk-UA"/>
    </w:rPr>
  </w:style>
  <w:style w:type="paragraph" w:customStyle="1" w:styleId="ConsPlusTitle">
    <w:name w:val="ConsPlusTitle"/>
    <w:uiPriority w:val="99"/>
    <w:rsid w:val="000A1C37"/>
    <w:pPr>
      <w:widowControl w:val="0"/>
      <w:autoSpaceDE w:val="0"/>
      <w:autoSpaceDN w:val="0"/>
      <w:adjustRightInd w:val="0"/>
    </w:pPr>
    <w:rPr>
      <w:rFonts w:ascii="Arial" w:hAnsi="Arial" w:cs="Arial"/>
      <w:b/>
      <w:bCs/>
      <w:sz w:val="20"/>
      <w:szCs w:val="20"/>
      <w:lang w:val="uk-UA" w:eastAsia="uk-UA"/>
    </w:rPr>
  </w:style>
  <w:style w:type="paragraph" w:styleId="Title">
    <w:name w:val="Title"/>
    <w:basedOn w:val="Normal"/>
    <w:link w:val="TitleChar"/>
    <w:uiPriority w:val="99"/>
    <w:qFormat/>
    <w:rsid w:val="000A1C37"/>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uiPriority w:val="99"/>
    <w:locked/>
    <w:rsid w:val="000A1C37"/>
    <w:rPr>
      <w:rFonts w:ascii="Times New Roman" w:hAnsi="Times New Roman" w:cs="Times New Roman"/>
      <w:b/>
      <w:bCs/>
      <w:sz w:val="24"/>
      <w:szCs w:val="24"/>
    </w:rPr>
  </w:style>
  <w:style w:type="paragraph" w:styleId="BalloonText">
    <w:name w:val="Balloon Text"/>
    <w:basedOn w:val="Normal"/>
    <w:link w:val="BalloonTextChar"/>
    <w:uiPriority w:val="99"/>
    <w:semiHidden/>
    <w:rsid w:val="00354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3FF"/>
    <w:rPr>
      <w:rFonts w:ascii="Tahoma" w:hAnsi="Tahoma" w:cs="Tahoma"/>
      <w:sz w:val="16"/>
      <w:szCs w:val="16"/>
    </w:rPr>
  </w:style>
  <w:style w:type="paragraph" w:customStyle="1" w:styleId="Default">
    <w:name w:val="Default"/>
    <w:uiPriority w:val="99"/>
    <w:rsid w:val="00FC555D"/>
    <w:pPr>
      <w:autoSpaceDE w:val="0"/>
      <w:autoSpaceDN w:val="0"/>
      <w:adjustRightInd w:val="0"/>
    </w:pPr>
    <w:rPr>
      <w:rFonts w:ascii="Times New Roman" w:hAnsi="Times New Roman"/>
      <w:color w:val="000000"/>
      <w:sz w:val="24"/>
      <w:szCs w:val="24"/>
      <w:lang w:val="uk-UA" w:eastAsia="uk-UA"/>
    </w:rPr>
  </w:style>
  <w:style w:type="paragraph" w:styleId="ListParagraph">
    <w:name w:val="List Paragraph"/>
    <w:basedOn w:val="Normal"/>
    <w:uiPriority w:val="99"/>
    <w:qFormat/>
    <w:rsid w:val="00FC555D"/>
    <w:pPr>
      <w:widowControl w:val="0"/>
      <w:spacing w:after="0" w:line="240" w:lineRule="auto"/>
      <w:ind w:left="708"/>
    </w:pPr>
    <w:rPr>
      <w:rFonts w:ascii="Times New Roman" w:hAnsi="Times New Roman"/>
      <w:sz w:val="20"/>
      <w:szCs w:val="20"/>
    </w:rPr>
  </w:style>
  <w:style w:type="paragraph" w:styleId="NoSpacing">
    <w:name w:val="No Spacing"/>
    <w:uiPriority w:val="99"/>
    <w:qFormat/>
    <w:rsid w:val="00320E17"/>
    <w:rPr>
      <w:lang w:val="uk-UA" w:eastAsia="uk-UA"/>
    </w:rPr>
  </w:style>
  <w:style w:type="table" w:styleId="TableGrid">
    <w:name w:val="Table Grid"/>
    <w:basedOn w:val="TableNormal"/>
    <w:uiPriority w:val="99"/>
    <w:rsid w:val="00045C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45C45"/>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hyperlink" Target="http://www.minstroyrf.ru/docs/17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5</Pages>
  <Words>2047</Words>
  <Characters>11668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Professor</cp:lastModifiedBy>
  <cp:revision>25</cp:revision>
  <dcterms:created xsi:type="dcterms:W3CDTF">2018-12-07T19:02:00Z</dcterms:created>
  <dcterms:modified xsi:type="dcterms:W3CDTF">2018-12-14T06:26:00Z</dcterms:modified>
</cp:coreProperties>
</file>